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1BCA88E1" w:rsidR="002B4F4A" w:rsidRPr="007F05DD" w:rsidRDefault="00CC6142" w:rsidP="00721D02">
      <w:pPr>
        <w:spacing w:after="0"/>
        <w:jc w:val="center"/>
        <w:rPr>
          <w:rFonts w:ascii="Verdana" w:hAnsi="Verdana"/>
          <w:b/>
          <w:bCs/>
          <w:sz w:val="20"/>
          <w:szCs w:val="20"/>
        </w:rPr>
      </w:pPr>
      <w:r w:rsidRPr="007F05DD">
        <w:rPr>
          <w:rFonts w:ascii="Verdana" w:hAnsi="Verdana"/>
          <w:b/>
          <w:bCs/>
          <w:sz w:val="20"/>
          <w:szCs w:val="20"/>
        </w:rPr>
        <w:t>PARTE</w:t>
      </w:r>
      <w:r w:rsidR="00A41E5E" w:rsidRPr="007F05DD">
        <w:rPr>
          <w:rFonts w:ascii="Verdana" w:hAnsi="Verdana"/>
          <w:b/>
          <w:bCs/>
          <w:sz w:val="20"/>
          <w:szCs w:val="20"/>
        </w:rPr>
        <w:t xml:space="preserve"> </w:t>
      </w:r>
      <w:r w:rsidR="005B666A" w:rsidRPr="007F05DD">
        <w:rPr>
          <w:rFonts w:ascii="Verdana" w:hAnsi="Verdana"/>
          <w:b/>
          <w:bCs/>
          <w:sz w:val="20"/>
          <w:szCs w:val="20"/>
        </w:rPr>
        <w:t>2</w:t>
      </w:r>
    </w:p>
    <w:p w14:paraId="6000F327" w14:textId="54D9FA2B" w:rsidR="0006736C" w:rsidRPr="007F05DD" w:rsidRDefault="00824861" w:rsidP="00721D02">
      <w:pPr>
        <w:spacing w:after="0"/>
        <w:jc w:val="center"/>
        <w:rPr>
          <w:rFonts w:ascii="Verdana" w:hAnsi="Verdana"/>
          <w:b/>
          <w:bCs/>
          <w:sz w:val="20"/>
          <w:szCs w:val="20"/>
        </w:rPr>
      </w:pPr>
      <w:r w:rsidRPr="007F05DD">
        <w:rPr>
          <w:rFonts w:ascii="Verdana" w:hAnsi="Verdana"/>
          <w:b/>
          <w:bCs/>
          <w:sz w:val="20"/>
          <w:szCs w:val="20"/>
        </w:rPr>
        <w:t>CONTROLES DE LEY Y ASUNTOS PRUDENCIALES</w:t>
      </w:r>
    </w:p>
    <w:p w14:paraId="1BF07C81" w14:textId="77777777" w:rsidR="00721D02" w:rsidRPr="007F05DD" w:rsidRDefault="00721D02" w:rsidP="00721D02">
      <w:pPr>
        <w:spacing w:after="0"/>
        <w:jc w:val="center"/>
        <w:rPr>
          <w:rFonts w:ascii="Verdana" w:hAnsi="Verdana"/>
          <w:b/>
          <w:bCs/>
          <w:sz w:val="20"/>
          <w:szCs w:val="20"/>
        </w:rPr>
      </w:pPr>
    </w:p>
    <w:p w14:paraId="438B98D3" w14:textId="6D2588A5" w:rsidR="00A41E5E" w:rsidRPr="007F05DD" w:rsidRDefault="00A41E5E" w:rsidP="00721D02">
      <w:pPr>
        <w:spacing w:after="0"/>
        <w:jc w:val="center"/>
        <w:rPr>
          <w:rFonts w:ascii="Verdana" w:hAnsi="Verdana"/>
          <w:b/>
          <w:bCs/>
          <w:sz w:val="20"/>
          <w:szCs w:val="20"/>
        </w:rPr>
      </w:pPr>
      <w:r w:rsidRPr="007F05DD">
        <w:rPr>
          <w:rFonts w:ascii="Verdana" w:hAnsi="Verdana"/>
          <w:b/>
          <w:bCs/>
          <w:sz w:val="20"/>
          <w:szCs w:val="20"/>
        </w:rPr>
        <w:t xml:space="preserve">CAPÍTULO </w:t>
      </w:r>
      <w:r w:rsidR="00D26CD6" w:rsidRPr="007F05DD">
        <w:rPr>
          <w:rFonts w:ascii="Verdana" w:hAnsi="Verdana"/>
          <w:b/>
          <w:bCs/>
          <w:sz w:val="20"/>
          <w:szCs w:val="20"/>
        </w:rPr>
        <w:t>9</w:t>
      </w:r>
    </w:p>
    <w:p w14:paraId="3F9900A3" w14:textId="5222F643" w:rsidR="00DA0C0E" w:rsidRPr="007F05DD" w:rsidRDefault="00824861" w:rsidP="00BD6F5D">
      <w:pPr>
        <w:spacing w:after="0"/>
        <w:jc w:val="center"/>
        <w:rPr>
          <w:rFonts w:ascii="Verdana" w:hAnsi="Verdana"/>
          <w:b/>
          <w:bCs/>
          <w:sz w:val="20"/>
          <w:szCs w:val="20"/>
        </w:rPr>
      </w:pPr>
      <w:r w:rsidRPr="007F05DD">
        <w:rPr>
          <w:rFonts w:ascii="Verdana" w:hAnsi="Verdana"/>
          <w:b/>
          <w:bCs/>
          <w:sz w:val="20"/>
          <w:szCs w:val="20"/>
        </w:rPr>
        <w:t>ESQUEMA DE PRUEBAS DE RESISTENCIA (EPR)</w:t>
      </w:r>
    </w:p>
    <w:p w14:paraId="3AEDBD8A" w14:textId="77777777" w:rsidR="00721D02" w:rsidRPr="007F05DD" w:rsidRDefault="00721D02" w:rsidP="00721D02">
      <w:pPr>
        <w:spacing w:after="0"/>
        <w:jc w:val="center"/>
        <w:rPr>
          <w:rFonts w:ascii="Verdana" w:hAnsi="Verdana"/>
          <w:b/>
          <w:bCs/>
          <w:sz w:val="20"/>
          <w:szCs w:val="20"/>
        </w:rPr>
      </w:pPr>
    </w:p>
    <w:p w14:paraId="266A4589" w14:textId="77777777" w:rsidR="00D40CC0" w:rsidRDefault="00D40CC0" w:rsidP="009D6127">
      <w:pPr>
        <w:rPr>
          <w:rFonts w:ascii="Verdana" w:hAnsi="Verdana"/>
          <w:b/>
          <w:bCs/>
          <w:sz w:val="20"/>
          <w:szCs w:val="20"/>
        </w:rPr>
      </w:pPr>
    </w:p>
    <w:p w14:paraId="55A94767" w14:textId="0F168366" w:rsidR="00DA0C0E" w:rsidRPr="007F05DD" w:rsidRDefault="00987426" w:rsidP="009D6127">
      <w:pPr>
        <w:rPr>
          <w:rFonts w:ascii="Verdana" w:hAnsi="Verdana"/>
          <w:b/>
          <w:bCs/>
          <w:sz w:val="20"/>
          <w:szCs w:val="20"/>
        </w:rPr>
      </w:pPr>
      <w:r>
        <w:rPr>
          <w:rFonts w:ascii="Verdana" w:hAnsi="Verdana"/>
          <w:b/>
          <w:bCs/>
          <w:sz w:val="20"/>
          <w:szCs w:val="20"/>
        </w:rPr>
        <w:t>O</w:t>
      </w:r>
      <w:r w:rsidRPr="007F05DD">
        <w:rPr>
          <w:rFonts w:ascii="Verdana" w:hAnsi="Verdana"/>
          <w:b/>
          <w:bCs/>
          <w:sz w:val="20"/>
          <w:szCs w:val="20"/>
        </w:rPr>
        <w:t>BJETIVO</w:t>
      </w:r>
    </w:p>
    <w:p w14:paraId="2F7A2504" w14:textId="67C62FD0" w:rsidR="0057063F" w:rsidRPr="007F05DD" w:rsidRDefault="0057063F" w:rsidP="0057063F">
      <w:pPr>
        <w:spacing w:after="0"/>
        <w:rPr>
          <w:rFonts w:ascii="Verdana" w:hAnsi="Verdana"/>
          <w:sz w:val="20"/>
          <w:szCs w:val="20"/>
        </w:rPr>
      </w:pPr>
      <w:r w:rsidRPr="007F05DD">
        <w:rPr>
          <w:rFonts w:ascii="Verdana" w:hAnsi="Verdana"/>
          <w:sz w:val="20"/>
          <w:szCs w:val="20"/>
        </w:rPr>
        <w:t>2.9.1.</w:t>
      </w:r>
    </w:p>
    <w:p w14:paraId="5B842FF7" w14:textId="77777777" w:rsidR="00883207" w:rsidRPr="007F05DD" w:rsidRDefault="001645B3" w:rsidP="7D212A07">
      <w:pPr>
        <w:jc w:val="both"/>
        <w:rPr>
          <w:rFonts w:ascii="Verdana" w:hAnsi="Verdana" w:cs="Arial"/>
          <w:color w:val="000000" w:themeColor="text1"/>
          <w:sz w:val="20"/>
          <w:szCs w:val="20"/>
        </w:rPr>
      </w:pPr>
      <w:r w:rsidRPr="007F05DD">
        <w:rPr>
          <w:rFonts w:ascii="Verdana" w:hAnsi="Verdana" w:cs="Arial"/>
          <w:color w:val="000000" w:themeColor="text1"/>
          <w:sz w:val="20"/>
          <w:szCs w:val="20"/>
        </w:rPr>
        <w:t>Las entidades financieras vigiladas por la Superintendencia Financiera de Colombia (SFC) se exponen a una serie de riesgos en desarrollo de sus actividades. En caso de materializarse, esos riesgos pueden afectar la viabilidad de las entidades, comprometer la estabilidad del sistema financiero y poner en riesgo la confianza del público. Por este motivo es necesario que tanto las entidades como las autoridades estén en capacidad de identificarlos. También deben procurar que el capital y la liquidez de las entidades cubran adecuadamente los riesgos inherentes a sus actividades y que la gestión de los riesgos sea consistente con su tamaño, naturaleza, complejidad e importancia sistémica.</w:t>
      </w:r>
    </w:p>
    <w:p w14:paraId="7930F5A9" w14:textId="57B2BFB0" w:rsidR="00883207" w:rsidRPr="007F05DD" w:rsidRDefault="00883207" w:rsidP="00883207">
      <w:pPr>
        <w:spacing w:after="0"/>
        <w:rPr>
          <w:rFonts w:ascii="Verdana" w:hAnsi="Verdana"/>
          <w:sz w:val="20"/>
          <w:szCs w:val="20"/>
        </w:rPr>
      </w:pPr>
      <w:r w:rsidRPr="007F05DD">
        <w:rPr>
          <w:rFonts w:ascii="Verdana" w:hAnsi="Verdana"/>
          <w:sz w:val="20"/>
          <w:szCs w:val="20"/>
        </w:rPr>
        <w:t>2.9.2.</w:t>
      </w:r>
    </w:p>
    <w:p w14:paraId="22E78798" w14:textId="77777777"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El Esquema de Pruebas de Resistencia (EPR) es un instrumento muy útil para estos propósitos. A las entidades les permite identificar y </w:t>
      </w:r>
      <w:r w:rsidRPr="007F05DD">
        <w:rPr>
          <w:rStyle w:val="Titulo3Car"/>
          <w:rFonts w:ascii="Verdana" w:hAnsi="Verdana"/>
          <w:b w:val="0"/>
          <w:bCs w:val="0"/>
          <w:color w:val="000000" w:themeColor="text1"/>
          <w:sz w:val="20"/>
          <w:szCs w:val="20"/>
        </w:rPr>
        <w:t>precisar sus debilidades,</w:t>
      </w:r>
      <w:r w:rsidRPr="007F05DD">
        <w:rPr>
          <w:rFonts w:ascii="Verdana" w:hAnsi="Verdana" w:cs="Arial"/>
          <w:color w:val="000000" w:themeColor="text1"/>
          <w:sz w:val="20"/>
          <w:szCs w:val="20"/>
        </w:rPr>
        <w:t xml:space="preserve"> adoptar decisiones oportunas para la apropiada gestión de los riesgos, examinar la consistencia de su capital, de su liquidez, de sus activos y sus pasivos de acuerdo con su perfil de riesgo, así como ponderar la viabilidad de sus planes de negocio. De este modo, el EPR ayuda a las entidades a fortalecer la gestión de los riesgos y complementa sus procesos de evaluación de suficiencia del capital. Con base en los resultados de las pruebas del EPR, las entidades pueden dimensionar la capacidad de absorción de pérdidas de los componentes del capital y adecuarlo a los riesgos actuales y potenciales que enfrentan en desarrollo de su plan de negocio. A la SFC el EPR le ayuda a evaluar la resiliencia de las entidades y del sistema financiero en escenarios económicos que pueden precipitar la materialización de los riesgos. Con este fin, la SFC usa los resultados de las pruebas como un insumo para examinar la vulnerabilidad de las entidades a cambios repentinos en el entorno económico y para determinar la idoneidad de su capital, de su liquidez y de la composición de sus activos y pasivos para asimilar los cambios, sin que se afecte la prestación de los servicios financieros.</w:t>
      </w:r>
    </w:p>
    <w:p w14:paraId="1ABE2D7B" w14:textId="79E0D19C" w:rsidR="00AF056D" w:rsidRPr="007F05DD" w:rsidRDefault="00AF056D" w:rsidP="00AF056D">
      <w:pPr>
        <w:spacing w:after="0"/>
        <w:rPr>
          <w:rFonts w:ascii="Verdana" w:hAnsi="Verdana"/>
          <w:sz w:val="20"/>
          <w:szCs w:val="20"/>
        </w:rPr>
      </w:pPr>
      <w:r w:rsidRPr="007F05DD">
        <w:rPr>
          <w:rFonts w:ascii="Verdana" w:hAnsi="Verdana"/>
          <w:sz w:val="20"/>
          <w:szCs w:val="20"/>
        </w:rPr>
        <w:t>2.9.3.</w:t>
      </w:r>
    </w:p>
    <w:p w14:paraId="4E5DC403" w14:textId="77777777"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En consecuencia, el EPR debe ser utilizado tanto por las entidades para su planeación financiera, como por la SFC para evaluar la estabilidad de las entidades y del sistema financiero. En el primer caso, las entidades deben diseñar los escenarios económicos que consideren pertinentes para realizar las pruebas y utilizar los resultados en su planeación financiera. En el segundo caso, las entidades deben realizar las pruebas con base en los escenarios diseñados por la SFC y remitirle a ella los resultados.</w:t>
      </w:r>
    </w:p>
    <w:p w14:paraId="3351AD70" w14:textId="648E84A2" w:rsidR="00503FED" w:rsidRPr="007F05DD" w:rsidRDefault="00503FED" w:rsidP="00503FED">
      <w:pPr>
        <w:spacing w:after="0"/>
        <w:rPr>
          <w:rFonts w:ascii="Verdana" w:hAnsi="Verdana"/>
          <w:sz w:val="20"/>
          <w:szCs w:val="20"/>
        </w:rPr>
      </w:pPr>
      <w:r w:rsidRPr="007F05DD">
        <w:rPr>
          <w:rFonts w:ascii="Verdana" w:hAnsi="Verdana"/>
          <w:sz w:val="20"/>
          <w:szCs w:val="20"/>
        </w:rPr>
        <w:t>2.9.4.</w:t>
      </w:r>
    </w:p>
    <w:p w14:paraId="65A2DC00" w14:textId="77777777" w:rsidR="001645B3" w:rsidRPr="007F05DD" w:rsidRDefault="001645B3" w:rsidP="7D212A07">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Con el fin de que los resultados de las pruebas de resistencia orienten la gestión de los riesgos y la toma de las decisiones estratégicas del negocio, el EPR debe formar parte de la cultura corporativa de las entidades. Con este fin, la Junta Directiva (JD) y la alta gerencia deben participar activamente en la implementación y el análisis de los resultados de las pruebas de resistencia, así como en la adopción de las acciones a que haya lugar. En consecuencia, las pruebas de resistencia deben estar incluidas en las políticas y en las prácticas generales de gestión del riesgo en todos los niveles de la entidad, de manera que desempeñen un papel fundamental en el diseño de las estrategias para mitigar los riesgos y en el desarrollo de los planes de contingencia para las situaciones de estrés. En particular, son una herramienta útil para gestionar los riesgos a nivel individual y del conglomerado financiero, considerando las concentraciones e interacciones entre los riesgos bajo condiciones de estrés. También deben alimentar el proceso de toma de decisiones de las entidades, incluyendo la determinación de su tolerancia y apetito al riesgo, los límites del riesgo y la evaluación de las acciones estratégicas para su planeación de largo plazo. </w:t>
      </w:r>
    </w:p>
    <w:p w14:paraId="13FFF002" w14:textId="0220EDF8" w:rsidR="005A4875" w:rsidRPr="007F05DD" w:rsidRDefault="005A4875" w:rsidP="005A4875">
      <w:pPr>
        <w:spacing w:after="0"/>
        <w:rPr>
          <w:rFonts w:ascii="Verdana" w:hAnsi="Verdana"/>
          <w:sz w:val="20"/>
          <w:szCs w:val="20"/>
        </w:rPr>
      </w:pPr>
      <w:r w:rsidRPr="007F05DD">
        <w:rPr>
          <w:rFonts w:ascii="Verdana" w:hAnsi="Verdana"/>
          <w:sz w:val="20"/>
          <w:szCs w:val="20"/>
        </w:rPr>
        <w:t>2.9.</w:t>
      </w:r>
      <w:r w:rsidR="00034862" w:rsidRPr="007F05DD">
        <w:rPr>
          <w:rFonts w:ascii="Verdana" w:hAnsi="Verdana"/>
          <w:sz w:val="20"/>
          <w:szCs w:val="20"/>
        </w:rPr>
        <w:t>5</w:t>
      </w:r>
      <w:r w:rsidRPr="007F05DD">
        <w:rPr>
          <w:rFonts w:ascii="Verdana" w:hAnsi="Verdana"/>
          <w:sz w:val="20"/>
          <w:szCs w:val="20"/>
        </w:rPr>
        <w:t>.</w:t>
      </w:r>
    </w:p>
    <w:p w14:paraId="782D3795" w14:textId="77777777" w:rsidR="00034862" w:rsidRPr="007F05DD" w:rsidRDefault="001645B3" w:rsidP="00034862">
      <w:pPr>
        <w:jc w:val="both"/>
        <w:rPr>
          <w:rFonts w:ascii="Verdana" w:hAnsi="Verdana" w:cs="Arial"/>
          <w:color w:val="000000" w:themeColor="text1"/>
          <w:sz w:val="20"/>
          <w:szCs w:val="20"/>
        </w:rPr>
      </w:pPr>
      <w:r w:rsidRPr="007F05DD">
        <w:rPr>
          <w:rFonts w:ascii="Verdana" w:hAnsi="Verdana" w:cs="Arial"/>
          <w:color w:val="000000" w:themeColor="text1"/>
          <w:sz w:val="20"/>
          <w:szCs w:val="20"/>
        </w:rPr>
        <w:t>En estas condiciones, el EPR contribuye a la gestión de los riesgos, así como de los activos y los pasivos, del capital y de la liquidez de las entidades.</w:t>
      </w:r>
      <w:bookmarkStart w:id="0" w:name="_Toc170218596"/>
      <w:bookmarkStart w:id="1" w:name="_Toc399228209"/>
      <w:bookmarkStart w:id="2" w:name="_Toc417459219"/>
    </w:p>
    <w:p w14:paraId="304C225F" w14:textId="77777777" w:rsidR="00AE1E3C" w:rsidRDefault="00AE1E3C" w:rsidP="00034862">
      <w:pPr>
        <w:jc w:val="both"/>
        <w:rPr>
          <w:rFonts w:ascii="Verdana" w:hAnsi="Verdana"/>
          <w:b/>
          <w:bCs/>
          <w:color w:val="000000" w:themeColor="text1"/>
          <w:sz w:val="20"/>
          <w:szCs w:val="20"/>
        </w:rPr>
      </w:pPr>
    </w:p>
    <w:p w14:paraId="1D299703" w14:textId="32990E07" w:rsidR="001645B3" w:rsidRPr="007F05DD" w:rsidRDefault="00AE1E3C" w:rsidP="00034862">
      <w:pPr>
        <w:jc w:val="both"/>
        <w:rPr>
          <w:rFonts w:ascii="Verdana" w:hAnsi="Verdana" w:cs="Arial"/>
          <w:b/>
          <w:bCs/>
          <w:color w:val="000000" w:themeColor="text1"/>
          <w:sz w:val="20"/>
          <w:szCs w:val="20"/>
        </w:rPr>
      </w:pPr>
      <w:r w:rsidRPr="007F05DD">
        <w:rPr>
          <w:rFonts w:ascii="Verdana" w:hAnsi="Verdana"/>
          <w:b/>
          <w:bCs/>
          <w:color w:val="000000" w:themeColor="text1"/>
          <w:sz w:val="20"/>
          <w:szCs w:val="20"/>
        </w:rPr>
        <w:lastRenderedPageBreak/>
        <w:t>DEFINICIONES</w:t>
      </w:r>
      <w:bookmarkEnd w:id="0"/>
      <w:bookmarkEnd w:id="1"/>
      <w:bookmarkEnd w:id="2"/>
    </w:p>
    <w:p w14:paraId="1275F495" w14:textId="68CA4061" w:rsidR="009B164E" w:rsidRPr="007F05DD" w:rsidRDefault="009B164E" w:rsidP="009B164E">
      <w:pPr>
        <w:spacing w:after="0"/>
        <w:rPr>
          <w:rFonts w:ascii="Verdana" w:hAnsi="Verdana"/>
          <w:sz w:val="20"/>
          <w:szCs w:val="20"/>
        </w:rPr>
      </w:pPr>
      <w:r w:rsidRPr="007F05DD">
        <w:rPr>
          <w:rFonts w:ascii="Verdana" w:hAnsi="Verdana"/>
          <w:sz w:val="20"/>
          <w:szCs w:val="20"/>
        </w:rPr>
        <w:t>2.9.</w:t>
      </w:r>
      <w:r w:rsidR="0033079E" w:rsidRPr="007F05DD">
        <w:rPr>
          <w:rFonts w:ascii="Verdana" w:hAnsi="Verdana"/>
          <w:sz w:val="20"/>
          <w:szCs w:val="20"/>
        </w:rPr>
        <w:t>6</w:t>
      </w:r>
      <w:r w:rsidRPr="007F05DD">
        <w:rPr>
          <w:rFonts w:ascii="Verdana" w:hAnsi="Verdana"/>
          <w:sz w:val="20"/>
          <w:szCs w:val="20"/>
        </w:rPr>
        <w:t>.</w:t>
      </w:r>
    </w:p>
    <w:p w14:paraId="2AA9500F" w14:textId="57B23D16"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Las siguientes definiciones se deben tener en cuenta para los fines del presente capítulo:  </w:t>
      </w:r>
    </w:p>
    <w:p w14:paraId="0F2EECE4" w14:textId="7C036349" w:rsidR="00622F27" w:rsidRPr="00622F27" w:rsidRDefault="00622F27" w:rsidP="00005377">
      <w:pPr>
        <w:spacing w:after="0"/>
        <w:rPr>
          <w:rFonts w:ascii="Verdana" w:hAnsi="Verdana"/>
          <w:b/>
          <w:bCs/>
          <w:sz w:val="20"/>
          <w:szCs w:val="20"/>
        </w:rPr>
      </w:pPr>
      <w:r w:rsidRPr="00622F27">
        <w:rPr>
          <w:rFonts w:ascii="Verdana" w:hAnsi="Verdana" w:cs="Arial"/>
          <w:b/>
          <w:bCs/>
          <w:color w:val="000000" w:themeColor="text1"/>
          <w:sz w:val="20"/>
          <w:szCs w:val="20"/>
        </w:rPr>
        <w:t xml:space="preserve">Esquema de </w:t>
      </w:r>
      <w:r>
        <w:rPr>
          <w:rFonts w:ascii="Verdana" w:hAnsi="Verdana" w:cs="Arial"/>
          <w:b/>
          <w:bCs/>
          <w:color w:val="000000" w:themeColor="text1"/>
          <w:sz w:val="20"/>
          <w:szCs w:val="20"/>
        </w:rPr>
        <w:t>p</w:t>
      </w:r>
      <w:r w:rsidRPr="00622F27">
        <w:rPr>
          <w:rFonts w:ascii="Verdana" w:hAnsi="Verdana" w:cs="Arial"/>
          <w:b/>
          <w:bCs/>
          <w:color w:val="000000" w:themeColor="text1"/>
          <w:sz w:val="20"/>
          <w:szCs w:val="20"/>
        </w:rPr>
        <w:t xml:space="preserve">ruebas de </w:t>
      </w:r>
      <w:r>
        <w:rPr>
          <w:rFonts w:ascii="Verdana" w:hAnsi="Verdana" w:cs="Arial"/>
          <w:b/>
          <w:bCs/>
          <w:color w:val="000000" w:themeColor="text1"/>
          <w:sz w:val="20"/>
          <w:szCs w:val="20"/>
        </w:rPr>
        <w:t>r</w:t>
      </w:r>
      <w:r w:rsidRPr="00622F27">
        <w:rPr>
          <w:rFonts w:ascii="Verdana" w:hAnsi="Verdana" w:cs="Arial"/>
          <w:b/>
          <w:bCs/>
          <w:color w:val="000000" w:themeColor="text1"/>
          <w:sz w:val="20"/>
          <w:szCs w:val="20"/>
        </w:rPr>
        <w:t>esistencia</w:t>
      </w:r>
    </w:p>
    <w:p w14:paraId="12C4E3EB" w14:textId="77777777" w:rsidR="00622F27" w:rsidRDefault="00622F27" w:rsidP="00005377">
      <w:pPr>
        <w:spacing w:after="0"/>
        <w:rPr>
          <w:rFonts w:ascii="Verdana" w:hAnsi="Verdana"/>
          <w:sz w:val="20"/>
          <w:szCs w:val="20"/>
        </w:rPr>
      </w:pPr>
    </w:p>
    <w:p w14:paraId="388E06B0" w14:textId="444E696A" w:rsidR="00005377" w:rsidRPr="007F05DD" w:rsidRDefault="00005377" w:rsidP="00005377">
      <w:pPr>
        <w:spacing w:after="0"/>
        <w:rPr>
          <w:rFonts w:ascii="Verdana" w:hAnsi="Verdana"/>
          <w:sz w:val="20"/>
          <w:szCs w:val="20"/>
        </w:rPr>
      </w:pPr>
      <w:r w:rsidRPr="007F05DD">
        <w:rPr>
          <w:rFonts w:ascii="Verdana" w:hAnsi="Verdana"/>
          <w:sz w:val="20"/>
          <w:szCs w:val="20"/>
        </w:rPr>
        <w:t>2.9.7.</w:t>
      </w:r>
    </w:p>
    <w:p w14:paraId="40C13CB6" w14:textId="6ACFE343" w:rsidR="0070247A" w:rsidRPr="007F05DD" w:rsidRDefault="001645B3" w:rsidP="7D212A07">
      <w:pPr>
        <w:jc w:val="both"/>
        <w:rPr>
          <w:rFonts w:ascii="Verdana" w:hAnsi="Verdana" w:cs="Arial"/>
          <w:color w:val="000000" w:themeColor="text1"/>
          <w:sz w:val="20"/>
          <w:szCs w:val="20"/>
        </w:rPr>
      </w:pPr>
      <w:r w:rsidRPr="007F05DD">
        <w:rPr>
          <w:rFonts w:ascii="Verdana" w:hAnsi="Verdana" w:cs="Arial"/>
          <w:color w:val="000000" w:themeColor="text1"/>
          <w:sz w:val="20"/>
          <w:szCs w:val="20"/>
        </w:rPr>
        <w:t>El EPR es el marco dentro del cual las entidades deben realizar tanto (i) las pruebas de resistencia que utilizan para su planeación financiera y gestión de los riesgos, como (ii) las requeridas por la SFC para efectos de la supervisión prudencial y la evaluación de la estabilidad financiera.</w:t>
      </w:r>
    </w:p>
    <w:p w14:paraId="517A1014" w14:textId="6B44A155" w:rsidR="00622F27" w:rsidRPr="007F05DD" w:rsidRDefault="00622F27" w:rsidP="00622F27">
      <w:pPr>
        <w:spacing w:after="0"/>
        <w:rPr>
          <w:rFonts w:ascii="Verdana" w:hAnsi="Verdana"/>
          <w:sz w:val="20"/>
          <w:szCs w:val="20"/>
        </w:rPr>
      </w:pPr>
      <w:r w:rsidRPr="007F05DD">
        <w:rPr>
          <w:rFonts w:ascii="Verdana" w:hAnsi="Verdana"/>
          <w:sz w:val="20"/>
          <w:szCs w:val="20"/>
        </w:rPr>
        <w:t>2.9.</w:t>
      </w:r>
      <w:r w:rsidR="57B07AA3" w:rsidRPr="7535FFF9">
        <w:rPr>
          <w:rFonts w:ascii="Verdana" w:hAnsi="Verdana"/>
          <w:sz w:val="20"/>
          <w:szCs w:val="20"/>
        </w:rPr>
        <w:t>8</w:t>
      </w:r>
      <w:r w:rsidRPr="007F05DD">
        <w:rPr>
          <w:rFonts w:ascii="Verdana" w:hAnsi="Verdana"/>
          <w:sz w:val="20"/>
          <w:szCs w:val="20"/>
        </w:rPr>
        <w:t>.</w:t>
      </w:r>
    </w:p>
    <w:p w14:paraId="4BB183D4" w14:textId="52C7B398" w:rsidR="001645B3" w:rsidRPr="00622F27" w:rsidRDefault="00622F27" w:rsidP="00622F27">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El </w:t>
      </w:r>
      <w:r w:rsidR="001645B3" w:rsidRPr="00622F27">
        <w:rPr>
          <w:rFonts w:ascii="Verdana" w:hAnsi="Verdana" w:cs="Arial"/>
          <w:color w:val="000000" w:themeColor="text1"/>
          <w:sz w:val="20"/>
          <w:szCs w:val="20"/>
        </w:rPr>
        <w:t>EPR incluye las pruebas de resistencia, la evaluación de sus resultados y la toma de las acciones pertinentes.</w:t>
      </w:r>
    </w:p>
    <w:p w14:paraId="30AF4C2C" w14:textId="39F2F022" w:rsidR="00144B78" w:rsidRPr="00622F27" w:rsidRDefault="00622F27" w:rsidP="00622F27">
      <w:pPr>
        <w:jc w:val="both"/>
        <w:rPr>
          <w:rFonts w:ascii="Verdana" w:hAnsi="Verdana" w:cs="Arial"/>
          <w:b/>
          <w:bCs/>
          <w:color w:val="000000" w:themeColor="text1"/>
          <w:sz w:val="20"/>
          <w:szCs w:val="20"/>
        </w:rPr>
      </w:pPr>
      <w:r w:rsidRPr="00622F27">
        <w:rPr>
          <w:rFonts w:ascii="Verdana" w:hAnsi="Verdana" w:cs="Arial"/>
          <w:b/>
          <w:bCs/>
          <w:color w:val="000000" w:themeColor="text1"/>
          <w:sz w:val="20"/>
          <w:szCs w:val="20"/>
        </w:rPr>
        <w:t xml:space="preserve">Pruebas de </w:t>
      </w:r>
      <w:r>
        <w:rPr>
          <w:rFonts w:ascii="Verdana" w:hAnsi="Verdana" w:cs="Arial"/>
          <w:b/>
          <w:bCs/>
          <w:color w:val="000000" w:themeColor="text1"/>
          <w:sz w:val="20"/>
          <w:szCs w:val="20"/>
        </w:rPr>
        <w:t>r</w:t>
      </w:r>
      <w:r w:rsidRPr="00622F27">
        <w:rPr>
          <w:rFonts w:ascii="Verdana" w:hAnsi="Verdana" w:cs="Arial"/>
          <w:b/>
          <w:bCs/>
          <w:color w:val="000000" w:themeColor="text1"/>
          <w:sz w:val="20"/>
          <w:szCs w:val="20"/>
        </w:rPr>
        <w:t>esistencia</w:t>
      </w:r>
    </w:p>
    <w:p w14:paraId="35658180" w14:textId="21241359" w:rsidR="0070607D" w:rsidRPr="007F05DD" w:rsidRDefault="0070607D" w:rsidP="0070607D">
      <w:pPr>
        <w:spacing w:after="0"/>
        <w:rPr>
          <w:rFonts w:ascii="Verdana" w:hAnsi="Verdana"/>
          <w:sz w:val="20"/>
          <w:szCs w:val="20"/>
        </w:rPr>
      </w:pPr>
      <w:r w:rsidRPr="007F05DD">
        <w:rPr>
          <w:rFonts w:ascii="Verdana" w:hAnsi="Verdana"/>
          <w:sz w:val="20"/>
          <w:szCs w:val="20"/>
        </w:rPr>
        <w:t>2.9.</w:t>
      </w:r>
      <w:r w:rsidR="38DA9221" w:rsidRPr="7535FFF9">
        <w:rPr>
          <w:rFonts w:ascii="Verdana" w:hAnsi="Verdana"/>
          <w:sz w:val="20"/>
          <w:szCs w:val="20"/>
        </w:rPr>
        <w:t>9</w:t>
      </w:r>
      <w:r w:rsidRPr="007F05DD">
        <w:rPr>
          <w:rFonts w:ascii="Verdana" w:hAnsi="Verdana"/>
          <w:sz w:val="20"/>
          <w:szCs w:val="20"/>
        </w:rPr>
        <w:t>.</w:t>
      </w:r>
    </w:p>
    <w:p w14:paraId="2CCBFC13" w14:textId="2E92F2DB" w:rsidR="00144B78" w:rsidRPr="007F05DD" w:rsidRDefault="001645B3" w:rsidP="00005377">
      <w:pPr>
        <w:jc w:val="both"/>
        <w:rPr>
          <w:rFonts w:ascii="Verdana" w:hAnsi="Verdana" w:cs="Arial"/>
          <w:color w:val="000000" w:themeColor="text1"/>
          <w:sz w:val="20"/>
          <w:szCs w:val="20"/>
        </w:rPr>
      </w:pPr>
      <w:r w:rsidRPr="007F05DD">
        <w:rPr>
          <w:rFonts w:ascii="Verdana" w:hAnsi="Verdana" w:cs="Arial"/>
          <w:color w:val="000000" w:themeColor="text1"/>
          <w:sz w:val="20"/>
          <w:szCs w:val="20"/>
        </w:rPr>
        <w:t>Se entiende por pruebas de resistencia el conjunto de procedimientos e instrumentos (ejercicios de simulación, técnicas cuantitativas y criterio de expertos, entre otros), que permiten evaluar la respuesta de las entidades a diferentes escenarios económicos que inciden directamente en su funcionamiento.</w:t>
      </w:r>
    </w:p>
    <w:p w14:paraId="04048400" w14:textId="42B8DA14" w:rsidR="00622F27" w:rsidRPr="00622F27" w:rsidRDefault="00622F27" w:rsidP="0070607D">
      <w:pPr>
        <w:spacing w:after="0"/>
        <w:rPr>
          <w:rFonts w:ascii="Verdana" w:hAnsi="Verdana"/>
          <w:b/>
          <w:bCs/>
          <w:sz w:val="20"/>
          <w:szCs w:val="20"/>
        </w:rPr>
      </w:pPr>
      <w:r w:rsidRPr="00622F27">
        <w:rPr>
          <w:rFonts w:ascii="Verdana" w:hAnsi="Verdana" w:cs="Arial"/>
          <w:b/>
          <w:bCs/>
          <w:color w:val="000000" w:themeColor="text1"/>
          <w:sz w:val="20"/>
          <w:szCs w:val="20"/>
        </w:rPr>
        <w:t xml:space="preserve">Escenarios </w:t>
      </w:r>
      <w:r>
        <w:rPr>
          <w:rFonts w:ascii="Verdana" w:hAnsi="Verdana" w:cs="Arial"/>
          <w:b/>
          <w:bCs/>
          <w:color w:val="000000" w:themeColor="text1"/>
          <w:sz w:val="20"/>
          <w:szCs w:val="20"/>
        </w:rPr>
        <w:t>e</w:t>
      </w:r>
      <w:r w:rsidRPr="00622F27">
        <w:rPr>
          <w:rFonts w:ascii="Verdana" w:hAnsi="Verdana" w:cs="Arial"/>
          <w:b/>
          <w:bCs/>
          <w:color w:val="000000" w:themeColor="text1"/>
          <w:sz w:val="20"/>
          <w:szCs w:val="20"/>
        </w:rPr>
        <w:t>conómicos</w:t>
      </w:r>
    </w:p>
    <w:p w14:paraId="49AFAC1B" w14:textId="77777777" w:rsidR="00622F27" w:rsidRDefault="00622F27" w:rsidP="0070607D">
      <w:pPr>
        <w:spacing w:after="0"/>
        <w:rPr>
          <w:rFonts w:ascii="Verdana" w:hAnsi="Verdana"/>
          <w:sz w:val="20"/>
          <w:szCs w:val="20"/>
        </w:rPr>
      </w:pPr>
    </w:p>
    <w:p w14:paraId="7566DD71" w14:textId="1B20D503" w:rsidR="0070607D" w:rsidRPr="007F05DD" w:rsidRDefault="0070607D" w:rsidP="0070607D">
      <w:pPr>
        <w:spacing w:after="0"/>
        <w:rPr>
          <w:rFonts w:ascii="Verdana" w:hAnsi="Verdana"/>
          <w:sz w:val="20"/>
          <w:szCs w:val="20"/>
        </w:rPr>
      </w:pPr>
      <w:r w:rsidRPr="007F05DD">
        <w:rPr>
          <w:rFonts w:ascii="Verdana" w:hAnsi="Verdana"/>
          <w:sz w:val="20"/>
          <w:szCs w:val="20"/>
        </w:rPr>
        <w:t>2.9.</w:t>
      </w:r>
      <w:r w:rsidR="3ED5E505" w:rsidRPr="7535FFF9">
        <w:rPr>
          <w:rFonts w:ascii="Verdana" w:hAnsi="Verdana"/>
          <w:sz w:val="20"/>
          <w:szCs w:val="20"/>
        </w:rPr>
        <w:t>10</w:t>
      </w:r>
      <w:r w:rsidRPr="007F05DD">
        <w:rPr>
          <w:rFonts w:ascii="Verdana" w:hAnsi="Verdana"/>
          <w:sz w:val="20"/>
          <w:szCs w:val="20"/>
        </w:rPr>
        <w:t>.</w:t>
      </w:r>
    </w:p>
    <w:p w14:paraId="66668AF6" w14:textId="5F3C99F5" w:rsidR="00CF3965" w:rsidRPr="007F05DD" w:rsidRDefault="001645B3" w:rsidP="0070607D">
      <w:pPr>
        <w:jc w:val="both"/>
        <w:rPr>
          <w:rFonts w:ascii="Verdana" w:hAnsi="Verdana" w:cs="Arial"/>
          <w:color w:val="000000" w:themeColor="text1"/>
          <w:sz w:val="20"/>
          <w:szCs w:val="20"/>
        </w:rPr>
      </w:pPr>
      <w:r w:rsidRPr="007F05DD">
        <w:rPr>
          <w:rFonts w:ascii="Verdana" w:hAnsi="Verdana" w:cs="Arial"/>
          <w:color w:val="000000" w:themeColor="text1"/>
          <w:sz w:val="20"/>
          <w:szCs w:val="20"/>
        </w:rPr>
        <w:t>Son especificaciones sobre posibles trayectorias futuras de un conjunto de variables macroeconómicas, financieras y sectoriales. No son predicciones ni se espera que ocurran de una manera inexorable. Se diseñan con el fin de evaluar la respuesta y la resistencia de las entidades y del sistema a cambios en el entorno económico y financiero.</w:t>
      </w:r>
    </w:p>
    <w:p w14:paraId="5324540D" w14:textId="13574335" w:rsidR="009C063D" w:rsidRPr="007F05DD" w:rsidRDefault="009C063D" w:rsidP="009C063D">
      <w:pPr>
        <w:spacing w:after="0"/>
        <w:rPr>
          <w:rFonts w:ascii="Verdana" w:hAnsi="Verdana"/>
          <w:sz w:val="20"/>
          <w:szCs w:val="20"/>
        </w:rPr>
      </w:pPr>
      <w:r w:rsidRPr="007F05DD">
        <w:rPr>
          <w:rFonts w:ascii="Verdana" w:hAnsi="Verdana"/>
          <w:sz w:val="20"/>
          <w:szCs w:val="20"/>
        </w:rPr>
        <w:t>2.9.</w:t>
      </w:r>
      <w:r w:rsidR="00C33E83" w:rsidRPr="7535FFF9">
        <w:rPr>
          <w:rFonts w:ascii="Verdana" w:hAnsi="Verdana"/>
          <w:sz w:val="20"/>
          <w:szCs w:val="20"/>
        </w:rPr>
        <w:t>1</w:t>
      </w:r>
      <w:r w:rsidR="6305FE43" w:rsidRPr="7535FFF9">
        <w:rPr>
          <w:rFonts w:ascii="Verdana" w:hAnsi="Verdana"/>
          <w:sz w:val="20"/>
          <w:szCs w:val="20"/>
        </w:rPr>
        <w:t>1</w:t>
      </w:r>
      <w:r w:rsidRPr="007F05DD">
        <w:rPr>
          <w:rFonts w:ascii="Verdana" w:hAnsi="Verdana"/>
          <w:sz w:val="20"/>
          <w:szCs w:val="20"/>
        </w:rPr>
        <w:t>.</w:t>
      </w:r>
    </w:p>
    <w:p w14:paraId="3DA966F5" w14:textId="03F21D5A" w:rsidR="00144B78" w:rsidRPr="007F05DD" w:rsidRDefault="001645B3" w:rsidP="0095529A">
      <w:pPr>
        <w:jc w:val="both"/>
        <w:rPr>
          <w:rFonts w:ascii="Verdana" w:hAnsi="Verdana" w:cs="Arial"/>
          <w:color w:val="000000" w:themeColor="text1"/>
          <w:sz w:val="20"/>
          <w:szCs w:val="20"/>
        </w:rPr>
      </w:pPr>
      <w:r w:rsidRPr="007F05DD">
        <w:rPr>
          <w:rFonts w:ascii="Verdana" w:hAnsi="Verdana" w:cs="Arial"/>
          <w:color w:val="000000" w:themeColor="text1"/>
          <w:sz w:val="20"/>
          <w:szCs w:val="20"/>
        </w:rPr>
        <w:t>En el caso de las pruebas requeridas por la SFC, se tendrán en cuenta los siguientes escenarios:</w:t>
      </w:r>
    </w:p>
    <w:p w14:paraId="5B04CFF1" w14:textId="77777777" w:rsidR="003E5317" w:rsidRPr="007F05DD" w:rsidRDefault="001645B3" w:rsidP="00905381">
      <w:pPr>
        <w:pStyle w:val="Prrafodelista"/>
        <w:numPr>
          <w:ilvl w:val="0"/>
          <w:numId w:val="6"/>
        </w:numPr>
        <w:ind w:left="567"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Escenario Base: es aquel en el cual la economía y el sistema financiero no sufren choques inesperados.</w:t>
      </w:r>
    </w:p>
    <w:p w14:paraId="398A1D90" w14:textId="77777777" w:rsidR="003E5317" w:rsidRPr="007F05DD" w:rsidRDefault="003E5317" w:rsidP="00BB79E5">
      <w:pPr>
        <w:pStyle w:val="Prrafodelista"/>
        <w:ind w:left="567" w:hanging="567"/>
        <w:jc w:val="both"/>
        <w:rPr>
          <w:rFonts w:ascii="Verdana" w:hAnsi="Verdana" w:cs="Arial"/>
          <w:color w:val="000000" w:themeColor="text1"/>
          <w:sz w:val="20"/>
          <w:szCs w:val="20"/>
        </w:rPr>
      </w:pPr>
    </w:p>
    <w:p w14:paraId="38D6BC36" w14:textId="418C8CB6" w:rsidR="00573506" w:rsidRPr="007F05DD" w:rsidRDefault="001645B3" w:rsidP="00905381">
      <w:pPr>
        <w:pStyle w:val="Prrafodelista"/>
        <w:numPr>
          <w:ilvl w:val="0"/>
          <w:numId w:val="6"/>
        </w:numPr>
        <w:ind w:left="567"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Escenario Adverso: es aquel en el cual la economía y el sistema financiero sufren choques inesperados</w:t>
      </w:r>
      <w:r w:rsidRPr="007F05DD" w:rsidDel="00723DFA">
        <w:rPr>
          <w:rFonts w:ascii="Verdana" w:hAnsi="Verdana" w:cs="Arial"/>
          <w:color w:val="000000" w:themeColor="text1"/>
          <w:sz w:val="20"/>
          <w:szCs w:val="20"/>
        </w:rPr>
        <w:t xml:space="preserve"> </w:t>
      </w:r>
      <w:r w:rsidRPr="007F05DD">
        <w:rPr>
          <w:rFonts w:ascii="Verdana" w:hAnsi="Verdana" w:cs="Arial"/>
          <w:color w:val="000000" w:themeColor="text1"/>
          <w:sz w:val="20"/>
          <w:szCs w:val="20"/>
        </w:rPr>
        <w:t xml:space="preserve">que desmejoran su comportamiento respecto del escenario base. </w:t>
      </w:r>
    </w:p>
    <w:p w14:paraId="00EAED11" w14:textId="708EAD75" w:rsidR="00BF5C4C" w:rsidRPr="00BF5C4C" w:rsidRDefault="00BF5C4C" w:rsidP="00BF5C4C">
      <w:pPr>
        <w:rPr>
          <w:rFonts w:ascii="Verdana" w:hAnsi="Verdana" w:cs="Arial"/>
          <w:b/>
          <w:bCs/>
          <w:color w:val="000000" w:themeColor="text1"/>
          <w:sz w:val="20"/>
          <w:szCs w:val="20"/>
        </w:rPr>
      </w:pPr>
      <w:r w:rsidRPr="00BF5C4C">
        <w:rPr>
          <w:rFonts w:ascii="Verdana" w:hAnsi="Verdana" w:cs="Arial"/>
          <w:b/>
          <w:bCs/>
          <w:color w:val="000000" w:themeColor="text1"/>
          <w:sz w:val="20"/>
          <w:szCs w:val="20"/>
        </w:rPr>
        <w:t xml:space="preserve">Perfil de </w:t>
      </w:r>
      <w:r>
        <w:rPr>
          <w:rFonts w:ascii="Verdana" w:hAnsi="Verdana" w:cs="Arial"/>
          <w:b/>
          <w:bCs/>
          <w:color w:val="000000" w:themeColor="text1"/>
          <w:sz w:val="20"/>
          <w:szCs w:val="20"/>
        </w:rPr>
        <w:t>r</w:t>
      </w:r>
      <w:r w:rsidRPr="00BF5C4C">
        <w:rPr>
          <w:rFonts w:ascii="Verdana" w:hAnsi="Verdana" w:cs="Arial"/>
          <w:b/>
          <w:bCs/>
          <w:color w:val="000000" w:themeColor="text1"/>
          <w:sz w:val="20"/>
          <w:szCs w:val="20"/>
        </w:rPr>
        <w:t>iesgo</w:t>
      </w:r>
    </w:p>
    <w:p w14:paraId="788EDFD7" w14:textId="345E161F" w:rsidR="00BF5C4C" w:rsidRPr="007F05DD" w:rsidRDefault="00BF5C4C" w:rsidP="00BF5C4C">
      <w:pPr>
        <w:spacing w:after="0"/>
        <w:rPr>
          <w:rFonts w:ascii="Verdana" w:hAnsi="Verdana"/>
          <w:sz w:val="20"/>
          <w:szCs w:val="20"/>
        </w:rPr>
      </w:pPr>
      <w:r w:rsidRPr="007F05DD">
        <w:rPr>
          <w:rFonts w:ascii="Verdana" w:hAnsi="Verdana"/>
          <w:sz w:val="20"/>
          <w:szCs w:val="20"/>
        </w:rPr>
        <w:t>2.9.</w:t>
      </w:r>
      <w:r w:rsidRPr="7535FFF9">
        <w:rPr>
          <w:rFonts w:ascii="Verdana" w:hAnsi="Verdana"/>
          <w:sz w:val="20"/>
          <w:szCs w:val="20"/>
        </w:rPr>
        <w:t>1</w:t>
      </w:r>
      <w:r w:rsidR="4DEBF87A" w:rsidRPr="7535FFF9">
        <w:rPr>
          <w:rFonts w:ascii="Verdana" w:hAnsi="Verdana"/>
          <w:sz w:val="20"/>
          <w:szCs w:val="20"/>
        </w:rPr>
        <w:t>2</w:t>
      </w:r>
      <w:r w:rsidRPr="007F05DD">
        <w:rPr>
          <w:rFonts w:ascii="Verdana" w:hAnsi="Verdana"/>
          <w:sz w:val="20"/>
          <w:szCs w:val="20"/>
        </w:rPr>
        <w:t>.</w:t>
      </w:r>
    </w:p>
    <w:p w14:paraId="7F933C87" w14:textId="1BA5858F" w:rsidR="00573506" w:rsidRPr="007F05DD" w:rsidRDefault="00BF5C4C" w:rsidP="00BF5C4C">
      <w:pPr>
        <w:jc w:val="both"/>
        <w:rPr>
          <w:rFonts w:ascii="Verdana" w:hAnsi="Verdana" w:cs="Arial"/>
          <w:color w:val="000000" w:themeColor="text1"/>
          <w:sz w:val="20"/>
          <w:szCs w:val="20"/>
        </w:rPr>
      </w:pPr>
      <w:r w:rsidRPr="007F05DD">
        <w:rPr>
          <w:rFonts w:ascii="Verdana" w:hAnsi="Verdana" w:cs="Arial"/>
          <w:color w:val="000000" w:themeColor="text1"/>
          <w:sz w:val="20"/>
          <w:szCs w:val="20"/>
        </w:rPr>
        <w:t>E</w:t>
      </w:r>
      <w:r>
        <w:rPr>
          <w:rFonts w:ascii="Verdana" w:hAnsi="Verdana" w:cs="Arial"/>
          <w:color w:val="000000" w:themeColor="text1"/>
          <w:sz w:val="20"/>
          <w:szCs w:val="20"/>
        </w:rPr>
        <w:t>s</w:t>
      </w:r>
      <w:r w:rsidR="001645B3" w:rsidRPr="007F05DD">
        <w:rPr>
          <w:rFonts w:ascii="Verdana" w:hAnsi="Verdana" w:cs="Arial"/>
          <w:color w:val="000000" w:themeColor="text1"/>
          <w:sz w:val="20"/>
          <w:szCs w:val="20"/>
        </w:rPr>
        <w:t xml:space="preserve"> la exposición y tipos de riesgos a los cuales se encuentra expuesta una entidad en un punto determinado del tiempo.</w:t>
      </w:r>
    </w:p>
    <w:p w14:paraId="62DC5F63" w14:textId="2F5DD9EB" w:rsidR="00BF5C4C" w:rsidRPr="00BF5C4C" w:rsidRDefault="00BF5C4C" w:rsidP="00785C35">
      <w:pPr>
        <w:spacing w:after="0"/>
        <w:rPr>
          <w:rFonts w:ascii="Verdana" w:hAnsi="Verdana"/>
          <w:b/>
          <w:bCs/>
          <w:sz w:val="20"/>
          <w:szCs w:val="20"/>
        </w:rPr>
      </w:pPr>
      <w:r w:rsidRPr="00BF5C4C">
        <w:rPr>
          <w:rFonts w:ascii="Verdana" w:hAnsi="Verdana" w:cs="Arial"/>
          <w:b/>
          <w:bCs/>
          <w:color w:val="000000" w:themeColor="text1"/>
          <w:sz w:val="20"/>
          <w:szCs w:val="20"/>
        </w:rPr>
        <w:t xml:space="preserve">Apetito de </w:t>
      </w:r>
      <w:r>
        <w:rPr>
          <w:rFonts w:ascii="Verdana" w:hAnsi="Verdana" w:cs="Arial"/>
          <w:b/>
          <w:bCs/>
          <w:color w:val="000000" w:themeColor="text1"/>
          <w:sz w:val="20"/>
          <w:szCs w:val="20"/>
        </w:rPr>
        <w:t>r</w:t>
      </w:r>
      <w:r w:rsidRPr="00BF5C4C">
        <w:rPr>
          <w:rFonts w:ascii="Verdana" w:hAnsi="Verdana" w:cs="Arial"/>
          <w:b/>
          <w:bCs/>
          <w:color w:val="000000" w:themeColor="text1"/>
          <w:sz w:val="20"/>
          <w:szCs w:val="20"/>
        </w:rPr>
        <w:t>iesgo</w:t>
      </w:r>
    </w:p>
    <w:p w14:paraId="4329F153" w14:textId="77777777" w:rsidR="00BF5C4C" w:rsidRDefault="00BF5C4C" w:rsidP="00785C35">
      <w:pPr>
        <w:spacing w:after="0"/>
        <w:rPr>
          <w:rFonts w:ascii="Verdana" w:hAnsi="Verdana"/>
          <w:sz w:val="20"/>
          <w:szCs w:val="20"/>
        </w:rPr>
      </w:pPr>
    </w:p>
    <w:p w14:paraId="4115D42B" w14:textId="6A178963" w:rsidR="00785C35" w:rsidRPr="007F05DD" w:rsidRDefault="00785C35" w:rsidP="00785C35">
      <w:pPr>
        <w:spacing w:after="0"/>
        <w:rPr>
          <w:rFonts w:ascii="Verdana" w:hAnsi="Verdana"/>
          <w:sz w:val="20"/>
          <w:szCs w:val="20"/>
        </w:rPr>
      </w:pPr>
      <w:r w:rsidRPr="007F05DD">
        <w:rPr>
          <w:rFonts w:ascii="Verdana" w:hAnsi="Verdana"/>
          <w:sz w:val="20"/>
          <w:szCs w:val="20"/>
        </w:rPr>
        <w:t>2.9.</w:t>
      </w:r>
      <w:r w:rsidRPr="7535FFF9">
        <w:rPr>
          <w:rFonts w:ascii="Verdana" w:hAnsi="Verdana"/>
          <w:sz w:val="20"/>
          <w:szCs w:val="20"/>
        </w:rPr>
        <w:t>1</w:t>
      </w:r>
      <w:r w:rsidR="0BAA4050" w:rsidRPr="7535FFF9">
        <w:rPr>
          <w:rFonts w:ascii="Verdana" w:hAnsi="Verdana"/>
          <w:sz w:val="20"/>
          <w:szCs w:val="20"/>
        </w:rPr>
        <w:t>3</w:t>
      </w:r>
      <w:r w:rsidRPr="007F05DD">
        <w:rPr>
          <w:rFonts w:ascii="Verdana" w:hAnsi="Verdana"/>
          <w:sz w:val="20"/>
          <w:szCs w:val="20"/>
        </w:rPr>
        <w:t>.</w:t>
      </w:r>
    </w:p>
    <w:p w14:paraId="7746A269" w14:textId="79CA355C" w:rsidR="00EF3F83" w:rsidRPr="007F05DD" w:rsidRDefault="001645B3" w:rsidP="00785C35">
      <w:pPr>
        <w:jc w:val="both"/>
        <w:rPr>
          <w:rFonts w:ascii="Verdana" w:hAnsi="Verdana" w:cs="Arial"/>
          <w:color w:val="000000" w:themeColor="text1"/>
          <w:sz w:val="20"/>
          <w:szCs w:val="20"/>
        </w:rPr>
      </w:pPr>
      <w:r w:rsidRPr="007F05DD">
        <w:rPr>
          <w:rFonts w:ascii="Verdana" w:hAnsi="Verdana" w:cs="Arial"/>
          <w:color w:val="000000" w:themeColor="text1"/>
          <w:sz w:val="20"/>
          <w:szCs w:val="20"/>
        </w:rPr>
        <w:t>Es el nivel o niveles de riesgo y tipos de riesgo que una entidad está dispuesta a asumir de acuerdo con su fortaleza financiera y su plan de negocio.</w:t>
      </w:r>
      <w:bookmarkStart w:id="3" w:name="_Toc399228211"/>
      <w:bookmarkStart w:id="4" w:name="_Toc417459220"/>
    </w:p>
    <w:p w14:paraId="17E722AB" w14:textId="7DA6DDBA" w:rsidR="00EF3F83" w:rsidRPr="00AC2078" w:rsidRDefault="00CE5754" w:rsidP="00AC2078">
      <w:pPr>
        <w:rPr>
          <w:rFonts w:ascii="Verdana" w:hAnsi="Verdana"/>
          <w:b/>
          <w:bCs/>
          <w:sz w:val="20"/>
          <w:szCs w:val="20"/>
        </w:rPr>
      </w:pPr>
      <w:r w:rsidRPr="00AC2078">
        <w:rPr>
          <w:rFonts w:ascii="Verdana" w:hAnsi="Verdana"/>
          <w:b/>
          <w:bCs/>
          <w:sz w:val="20"/>
          <w:szCs w:val="20"/>
        </w:rPr>
        <w:t>ÁMBITO DE APLICACIÓN</w:t>
      </w:r>
      <w:bookmarkEnd w:id="3"/>
      <w:bookmarkEnd w:id="4"/>
    </w:p>
    <w:p w14:paraId="2FC97D69" w14:textId="351815E0" w:rsidR="003446AB" w:rsidRPr="007F05DD" w:rsidRDefault="003446AB" w:rsidP="003446AB">
      <w:pPr>
        <w:spacing w:after="0"/>
        <w:rPr>
          <w:rFonts w:ascii="Verdana" w:hAnsi="Verdana"/>
          <w:sz w:val="20"/>
          <w:szCs w:val="20"/>
        </w:rPr>
      </w:pPr>
      <w:r w:rsidRPr="007F05DD">
        <w:rPr>
          <w:rFonts w:ascii="Verdana" w:hAnsi="Verdana"/>
          <w:sz w:val="20"/>
          <w:szCs w:val="20"/>
        </w:rPr>
        <w:t>2.9.</w:t>
      </w:r>
      <w:r w:rsidR="00785C35" w:rsidRPr="7535FFF9">
        <w:rPr>
          <w:rFonts w:ascii="Verdana" w:hAnsi="Verdana"/>
          <w:sz w:val="20"/>
          <w:szCs w:val="20"/>
        </w:rPr>
        <w:t>1</w:t>
      </w:r>
      <w:r w:rsidR="13129AB4" w:rsidRPr="7535FFF9">
        <w:rPr>
          <w:rFonts w:ascii="Verdana" w:hAnsi="Verdana"/>
          <w:sz w:val="20"/>
          <w:szCs w:val="20"/>
        </w:rPr>
        <w:t>4</w:t>
      </w:r>
      <w:r w:rsidRPr="007F05DD">
        <w:rPr>
          <w:rFonts w:ascii="Verdana" w:hAnsi="Verdana"/>
          <w:sz w:val="20"/>
          <w:szCs w:val="20"/>
        </w:rPr>
        <w:t>.</w:t>
      </w:r>
    </w:p>
    <w:p w14:paraId="27DE0B16" w14:textId="02B51D0C" w:rsidR="00CE5754" w:rsidRDefault="001645B3" w:rsidP="00CE5754">
      <w:pPr>
        <w:tabs>
          <w:tab w:val="left" w:pos="540"/>
        </w:tabs>
        <w:jc w:val="both"/>
        <w:rPr>
          <w:rFonts w:ascii="Verdana" w:hAnsi="Verdana" w:cs="Arial"/>
          <w:bCs/>
          <w:color w:val="000000" w:themeColor="text1"/>
          <w:sz w:val="20"/>
          <w:szCs w:val="20"/>
          <w:lang w:val="es-ES_tradnl"/>
        </w:rPr>
      </w:pPr>
      <w:r w:rsidRPr="007F05DD">
        <w:rPr>
          <w:rFonts w:ascii="Verdana" w:hAnsi="Verdana" w:cs="Arial"/>
          <w:color w:val="000000" w:themeColor="text1"/>
          <w:sz w:val="20"/>
          <w:szCs w:val="20"/>
        </w:rPr>
        <w:t xml:space="preserve">El presente capítulo aplica a los establecimientos </w:t>
      </w:r>
      <w:bookmarkStart w:id="5" w:name="_Toc399228213"/>
      <w:r w:rsidRPr="007F05DD">
        <w:rPr>
          <w:rFonts w:ascii="Verdana" w:hAnsi="Verdana" w:cs="Arial"/>
          <w:color w:val="000000" w:themeColor="text1"/>
          <w:sz w:val="20"/>
          <w:szCs w:val="20"/>
        </w:rPr>
        <w:t xml:space="preserve">bancarios, compañías de financiamiento, corporaciones financieras y cooperativas financieras, a nivel individual o consolidado. </w:t>
      </w:r>
      <w:r w:rsidRPr="007F05DD">
        <w:rPr>
          <w:rFonts w:ascii="Verdana" w:hAnsi="Verdana" w:cs="Arial"/>
          <w:bCs/>
          <w:color w:val="000000" w:themeColor="text1"/>
          <w:sz w:val="20"/>
          <w:szCs w:val="20"/>
          <w:lang w:val="es-ES_tradnl"/>
        </w:rPr>
        <w:t>Para llevar a cabo las pruebas de resistencia que requiere el supervisor, las entidades deben estimar los efectos de los escenarios suministrados por la SFC en sus estados financieros.</w:t>
      </w:r>
      <w:bookmarkStart w:id="6" w:name="_Toc417459221"/>
      <w:bookmarkEnd w:id="5"/>
    </w:p>
    <w:p w14:paraId="118898AB" w14:textId="77777777" w:rsidR="00CE5754" w:rsidRDefault="00CE5754" w:rsidP="00CE5754">
      <w:pPr>
        <w:tabs>
          <w:tab w:val="left" w:pos="540"/>
        </w:tabs>
        <w:jc w:val="both"/>
        <w:rPr>
          <w:rFonts w:ascii="Verdana" w:hAnsi="Verdana" w:cs="Arial"/>
          <w:bCs/>
          <w:color w:val="000000" w:themeColor="text1"/>
          <w:sz w:val="20"/>
          <w:szCs w:val="20"/>
          <w:lang w:val="es-ES_tradnl"/>
        </w:rPr>
      </w:pPr>
    </w:p>
    <w:p w14:paraId="2CEA7D7B" w14:textId="77777777" w:rsidR="00CE5754" w:rsidRDefault="00CE5754" w:rsidP="00CE5754">
      <w:pPr>
        <w:tabs>
          <w:tab w:val="left" w:pos="540"/>
        </w:tabs>
        <w:jc w:val="both"/>
        <w:rPr>
          <w:rFonts w:ascii="Verdana" w:hAnsi="Verdana" w:cs="Arial"/>
          <w:bCs/>
          <w:color w:val="000000" w:themeColor="text1"/>
          <w:sz w:val="20"/>
          <w:szCs w:val="20"/>
          <w:lang w:val="es-ES_tradnl"/>
        </w:rPr>
      </w:pPr>
    </w:p>
    <w:p w14:paraId="16E6E580" w14:textId="77777777" w:rsidR="00CE5754" w:rsidRPr="00CE5754" w:rsidRDefault="00CE5754" w:rsidP="00CE5754">
      <w:pPr>
        <w:tabs>
          <w:tab w:val="left" w:pos="540"/>
        </w:tabs>
        <w:jc w:val="both"/>
        <w:rPr>
          <w:rFonts w:ascii="Verdana" w:hAnsi="Verdana" w:cs="Arial"/>
          <w:bCs/>
          <w:color w:val="000000" w:themeColor="text1"/>
          <w:sz w:val="20"/>
          <w:szCs w:val="20"/>
          <w:lang w:val="es-ES_tradnl"/>
        </w:rPr>
      </w:pPr>
    </w:p>
    <w:p w14:paraId="411D89FF" w14:textId="7618BD01" w:rsidR="001645B3" w:rsidRPr="00AC2078" w:rsidRDefault="00CE5754" w:rsidP="00AC2078">
      <w:pPr>
        <w:rPr>
          <w:rStyle w:val="Titulo3Car"/>
          <w:rFonts w:ascii="Verdana" w:hAnsi="Verdana" w:cstheme="minorBidi"/>
          <w:sz w:val="20"/>
          <w:szCs w:val="20"/>
          <w:lang w:val="es-CO" w:eastAsia="en-US"/>
        </w:rPr>
      </w:pPr>
      <w:r w:rsidRPr="00AC2078">
        <w:rPr>
          <w:rFonts w:ascii="Verdana" w:hAnsi="Verdana"/>
          <w:b/>
          <w:bCs/>
          <w:sz w:val="20"/>
          <w:szCs w:val="20"/>
        </w:rPr>
        <w:lastRenderedPageBreak/>
        <w:t>CARACTERÍSTICAS DEL E</w:t>
      </w:r>
      <w:bookmarkEnd w:id="6"/>
      <w:r w:rsidRPr="00AC2078">
        <w:rPr>
          <w:rFonts w:ascii="Verdana" w:hAnsi="Verdana"/>
          <w:b/>
          <w:bCs/>
          <w:sz w:val="20"/>
          <w:szCs w:val="20"/>
        </w:rPr>
        <w:t>PR</w:t>
      </w:r>
    </w:p>
    <w:p w14:paraId="1BD5DA82" w14:textId="6C66F12A" w:rsidR="00CB30DE" w:rsidRPr="007F05DD" w:rsidRDefault="00CB30DE" w:rsidP="00CB30DE">
      <w:pPr>
        <w:spacing w:after="0"/>
        <w:rPr>
          <w:rFonts w:ascii="Verdana" w:hAnsi="Verdana"/>
          <w:sz w:val="20"/>
          <w:szCs w:val="20"/>
        </w:rPr>
      </w:pPr>
      <w:r w:rsidRPr="007F05DD">
        <w:rPr>
          <w:rFonts w:ascii="Verdana" w:hAnsi="Verdana"/>
          <w:sz w:val="20"/>
          <w:szCs w:val="20"/>
        </w:rPr>
        <w:t>2.9.</w:t>
      </w:r>
      <w:r w:rsidR="001E7914" w:rsidRPr="7535FFF9">
        <w:rPr>
          <w:rFonts w:ascii="Verdana" w:hAnsi="Verdana"/>
          <w:sz w:val="20"/>
          <w:szCs w:val="20"/>
        </w:rPr>
        <w:t>1</w:t>
      </w:r>
      <w:r w:rsidR="794AD57A" w:rsidRPr="7535FFF9">
        <w:rPr>
          <w:rFonts w:ascii="Verdana" w:hAnsi="Verdana"/>
          <w:sz w:val="20"/>
          <w:szCs w:val="20"/>
        </w:rPr>
        <w:t>5</w:t>
      </w:r>
      <w:r w:rsidRPr="007F05DD">
        <w:rPr>
          <w:rFonts w:ascii="Verdana" w:hAnsi="Verdana"/>
          <w:sz w:val="20"/>
          <w:szCs w:val="20"/>
        </w:rPr>
        <w:t>.</w:t>
      </w:r>
    </w:p>
    <w:p w14:paraId="2543C78B" w14:textId="0E315ACB"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Las entidades deben diseñar y adoptar un EPR de acuerdo con su naturaleza, tamaño, perfil y apetito de riesgo, complejidad del negocio y estructura de activos y pasivos. El EPR debe constituir una herramienta esencial en la gestión de los riesgos, en la planeación financiera y en el diseño de los planes de contingencia. El EPR debe permitir a las entidades identificar y cuantificar el impacto de los escenarios económicos sobre sus estados financieros, en función de su estructura y plan de negocio. </w:t>
      </w:r>
    </w:p>
    <w:p w14:paraId="18F48B1D" w14:textId="2245AA86" w:rsidR="0058188B" w:rsidRPr="007F05DD" w:rsidRDefault="0058188B" w:rsidP="0058188B">
      <w:pPr>
        <w:spacing w:after="0"/>
        <w:rPr>
          <w:rFonts w:ascii="Verdana" w:hAnsi="Verdana"/>
          <w:sz w:val="20"/>
          <w:szCs w:val="20"/>
        </w:rPr>
      </w:pPr>
      <w:r w:rsidRPr="007F05DD">
        <w:rPr>
          <w:rFonts w:ascii="Verdana" w:hAnsi="Verdana"/>
          <w:sz w:val="20"/>
          <w:szCs w:val="20"/>
        </w:rPr>
        <w:t>2.9.</w:t>
      </w:r>
      <w:r w:rsidR="001E7914" w:rsidRPr="7535FFF9">
        <w:rPr>
          <w:rFonts w:ascii="Verdana" w:hAnsi="Verdana"/>
          <w:sz w:val="20"/>
          <w:szCs w:val="20"/>
        </w:rPr>
        <w:t>1</w:t>
      </w:r>
      <w:r w:rsidR="1E545514" w:rsidRPr="7535FFF9">
        <w:rPr>
          <w:rFonts w:ascii="Verdana" w:hAnsi="Verdana"/>
          <w:sz w:val="20"/>
          <w:szCs w:val="20"/>
        </w:rPr>
        <w:t>6</w:t>
      </w:r>
      <w:r w:rsidRPr="007F05DD">
        <w:rPr>
          <w:rFonts w:ascii="Verdana" w:hAnsi="Verdana"/>
          <w:sz w:val="20"/>
          <w:szCs w:val="20"/>
        </w:rPr>
        <w:t>.</w:t>
      </w:r>
    </w:p>
    <w:p w14:paraId="358F4C00" w14:textId="5440BC18"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Para efectos de la implementación del EPR se debe tener en cuenta como mínimo los siguientes aspectos:</w:t>
      </w:r>
    </w:p>
    <w:p w14:paraId="268D925B" w14:textId="7BB89BF6" w:rsidR="001645B3" w:rsidRPr="007F05DD" w:rsidRDefault="001645B3" w:rsidP="00905381">
      <w:pPr>
        <w:pStyle w:val="Prrafodelista"/>
        <w:numPr>
          <w:ilvl w:val="0"/>
          <w:numId w:val="3"/>
        </w:numPr>
        <w:ind w:left="567"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Para llevar a cabo las pruebas de resistencia, cuyos resultados utilizan en la planeación financiera y la gestión de los riesgos, las entidades deben diseñar los escenarios que consideren convenientes. Dichos escenarios pueden coincidir parcial o totalmente con los entregados por el supervisor siempre que: (i) le permitan a la entidad identificar </w:t>
      </w:r>
      <w:r w:rsidRPr="007F05DD">
        <w:rPr>
          <w:rStyle w:val="Titulo3Car"/>
          <w:rFonts w:ascii="Verdana" w:hAnsi="Verdana"/>
          <w:b w:val="0"/>
          <w:bCs w:val="0"/>
          <w:color w:val="000000" w:themeColor="text1"/>
          <w:sz w:val="20"/>
          <w:szCs w:val="20"/>
        </w:rPr>
        <w:t>sus debilidades</w:t>
      </w:r>
      <w:r w:rsidRPr="007F05DD">
        <w:rPr>
          <w:rFonts w:ascii="Verdana" w:hAnsi="Verdana" w:cs="Arial"/>
          <w:color w:val="000000" w:themeColor="text1"/>
          <w:sz w:val="20"/>
          <w:szCs w:val="20"/>
        </w:rPr>
        <w:t xml:space="preserve"> y (ii) contribuyan a la gestión de los riesgos y a examinar la consistencia de su capital, liquidez activos y pasivos, de acuerdo con su perfil de riesgo.</w:t>
      </w:r>
    </w:p>
    <w:p w14:paraId="76D62A21" w14:textId="77777777" w:rsidR="00A40908" w:rsidRPr="007F05DD" w:rsidRDefault="00A40908" w:rsidP="00A40908">
      <w:pPr>
        <w:pStyle w:val="Prrafodelista"/>
        <w:ind w:left="567"/>
        <w:jc w:val="both"/>
        <w:rPr>
          <w:rFonts w:ascii="Verdana" w:hAnsi="Verdana" w:cs="Arial"/>
          <w:color w:val="000000" w:themeColor="text1"/>
          <w:sz w:val="20"/>
          <w:szCs w:val="20"/>
        </w:rPr>
      </w:pPr>
    </w:p>
    <w:p w14:paraId="14FDB2B8" w14:textId="2FEC6000" w:rsidR="001645B3" w:rsidRPr="007F05DD" w:rsidRDefault="001645B3" w:rsidP="00905381">
      <w:pPr>
        <w:pStyle w:val="Prrafodelista"/>
        <w:numPr>
          <w:ilvl w:val="0"/>
          <w:numId w:val="3"/>
        </w:numPr>
        <w:ind w:left="567"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Para efectos de las pruebas de resistencia requeridas por el supervisor, las entidades deben utilizar los escenarios que proporciona anualmente la SFC (base y adverso). En todo caso, la SFC </w:t>
      </w:r>
      <w:r w:rsidRPr="007F05DD">
        <w:rPr>
          <w:rStyle w:val="Titulo3Car"/>
          <w:rFonts w:ascii="Verdana" w:hAnsi="Verdana"/>
          <w:b w:val="0"/>
          <w:color w:val="000000" w:themeColor="text1"/>
          <w:sz w:val="20"/>
          <w:szCs w:val="20"/>
        </w:rPr>
        <w:t>puede suministrar otros escenarios particulares, bajo condiciones especiales del entorno económico, de la entidad o de ambos</w:t>
      </w:r>
      <w:r w:rsidRPr="007F05DD">
        <w:rPr>
          <w:rFonts w:ascii="Verdana" w:hAnsi="Verdana" w:cs="Arial"/>
          <w:color w:val="000000" w:themeColor="text1"/>
          <w:sz w:val="20"/>
          <w:szCs w:val="20"/>
        </w:rPr>
        <w:t>.</w:t>
      </w:r>
    </w:p>
    <w:p w14:paraId="179FA025" w14:textId="77777777" w:rsidR="003A414A" w:rsidRPr="007F05DD" w:rsidRDefault="003A414A" w:rsidP="003A414A">
      <w:pPr>
        <w:pStyle w:val="Prrafodelista"/>
        <w:ind w:left="567"/>
        <w:jc w:val="both"/>
        <w:rPr>
          <w:rFonts w:ascii="Verdana" w:hAnsi="Verdana" w:cs="Arial"/>
          <w:color w:val="000000" w:themeColor="text1"/>
          <w:sz w:val="20"/>
          <w:szCs w:val="20"/>
        </w:rPr>
      </w:pPr>
    </w:p>
    <w:p w14:paraId="2A28739A" w14:textId="77777777" w:rsidR="0058747C" w:rsidRPr="00947184" w:rsidRDefault="001645B3" w:rsidP="00905381">
      <w:pPr>
        <w:pStyle w:val="Prrafodelista"/>
        <w:numPr>
          <w:ilvl w:val="0"/>
          <w:numId w:val="3"/>
        </w:numPr>
        <w:ind w:left="567"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Las entidades deben diseñar e implementar modelos y metodologías propias que permitan trasladar a sus estados financieros los efectos de los escenarios que diseñan para su planeación financiera y los de los escenarios entregados por la </w:t>
      </w:r>
      <w:r w:rsidRPr="00947184">
        <w:rPr>
          <w:rFonts w:ascii="Verdana" w:hAnsi="Verdana" w:cs="Arial"/>
          <w:color w:val="000000" w:themeColor="text1"/>
          <w:sz w:val="20"/>
          <w:szCs w:val="20"/>
        </w:rPr>
        <w:t>SFC.</w:t>
      </w:r>
    </w:p>
    <w:p w14:paraId="6CE7B5E8" w14:textId="77777777" w:rsidR="0058747C" w:rsidRPr="00947184" w:rsidRDefault="0058747C" w:rsidP="0058747C">
      <w:pPr>
        <w:pStyle w:val="Prrafodelista"/>
        <w:rPr>
          <w:rFonts w:ascii="Verdana" w:hAnsi="Verdana" w:cs="Arial"/>
          <w:color w:val="000000" w:themeColor="text1"/>
          <w:sz w:val="20"/>
          <w:szCs w:val="20"/>
        </w:rPr>
      </w:pPr>
    </w:p>
    <w:p w14:paraId="65D1BD1D" w14:textId="6E11D533" w:rsidR="006B79DE" w:rsidRPr="00947184" w:rsidRDefault="001645B3" w:rsidP="00905381">
      <w:pPr>
        <w:pStyle w:val="Prrafodelista"/>
        <w:numPr>
          <w:ilvl w:val="0"/>
          <w:numId w:val="3"/>
        </w:numPr>
        <w:ind w:left="567" w:hanging="567"/>
        <w:jc w:val="both"/>
        <w:rPr>
          <w:rFonts w:ascii="Verdana" w:hAnsi="Verdana" w:cs="Arial"/>
          <w:color w:val="000000" w:themeColor="text1"/>
          <w:sz w:val="20"/>
          <w:szCs w:val="20"/>
          <w:lang w:val="es-ES" w:eastAsia="es-ES"/>
        </w:rPr>
      </w:pPr>
      <w:r w:rsidRPr="00947184">
        <w:rPr>
          <w:rFonts w:ascii="Verdana" w:hAnsi="Verdana" w:cs="Arial"/>
          <w:color w:val="000000" w:themeColor="text1"/>
          <w:sz w:val="20"/>
          <w:szCs w:val="20"/>
        </w:rPr>
        <w:t xml:space="preserve">Para el caso de la realización de las pruebas requeridas por la SFC, las entidades deben seguir los lineamientos básicos establecidos en el </w:t>
      </w:r>
      <w:r w:rsidR="00947184">
        <w:rPr>
          <w:rFonts w:ascii="Verdana" w:hAnsi="Verdana" w:cs="Arial"/>
          <w:color w:val="000000" w:themeColor="text1"/>
          <w:sz w:val="20"/>
          <w:szCs w:val="20"/>
        </w:rPr>
        <w:t>a</w:t>
      </w:r>
      <w:r w:rsidRPr="00947184">
        <w:rPr>
          <w:rFonts w:ascii="Verdana" w:hAnsi="Verdana" w:cs="Arial"/>
          <w:color w:val="000000" w:themeColor="text1"/>
          <w:sz w:val="20"/>
          <w:szCs w:val="20"/>
        </w:rPr>
        <w:t>nexo 1 “Lineamientos para el Esquema de las Pruebas de Resistencia (EPR) Requeridas por el Supervisor” del presente capítulo.</w:t>
      </w:r>
    </w:p>
    <w:p w14:paraId="3A50F407" w14:textId="77777777" w:rsidR="006B79DE" w:rsidRPr="007F05DD" w:rsidRDefault="006B79DE" w:rsidP="006B79DE">
      <w:pPr>
        <w:pStyle w:val="Prrafodelista"/>
        <w:rPr>
          <w:rFonts w:ascii="Verdana" w:hAnsi="Verdana" w:cs="Arial"/>
          <w:color w:val="000000" w:themeColor="text1"/>
          <w:sz w:val="20"/>
          <w:szCs w:val="20"/>
        </w:rPr>
      </w:pPr>
    </w:p>
    <w:p w14:paraId="59E84AF1" w14:textId="77777777" w:rsidR="00BB7419" w:rsidRPr="007F05DD" w:rsidRDefault="001645B3" w:rsidP="00905381">
      <w:pPr>
        <w:pStyle w:val="Prrafodelista"/>
        <w:numPr>
          <w:ilvl w:val="0"/>
          <w:numId w:val="3"/>
        </w:numPr>
        <w:ind w:left="567" w:hanging="567"/>
        <w:jc w:val="both"/>
        <w:rPr>
          <w:rStyle w:val="Titulo3Car"/>
          <w:rFonts w:ascii="Verdana" w:hAnsi="Verdana"/>
          <w:b w:val="0"/>
          <w:bCs w:val="0"/>
          <w:color w:val="000000" w:themeColor="text1"/>
          <w:sz w:val="20"/>
          <w:szCs w:val="20"/>
          <w:lang w:val="es-ES_tradnl" w:eastAsia="en-US"/>
        </w:rPr>
      </w:pPr>
      <w:r w:rsidRPr="007F05DD">
        <w:rPr>
          <w:rFonts w:ascii="Verdana" w:hAnsi="Verdana" w:cs="Arial"/>
          <w:color w:val="000000" w:themeColor="text1"/>
          <w:sz w:val="20"/>
          <w:szCs w:val="20"/>
        </w:rPr>
        <w:t>Los modelos y metodologías se deben diseñar atendiendo la naturaleza, tamaño, complejidad, actividades significativas,</w:t>
      </w:r>
      <w:r w:rsidRPr="007F05DD" w:rsidDel="00C83A1F">
        <w:rPr>
          <w:rFonts w:ascii="Verdana" w:hAnsi="Verdana" w:cs="Arial"/>
          <w:color w:val="000000" w:themeColor="text1"/>
          <w:sz w:val="20"/>
          <w:szCs w:val="20"/>
        </w:rPr>
        <w:t xml:space="preserve"> </w:t>
      </w:r>
      <w:r w:rsidRPr="007F05DD">
        <w:rPr>
          <w:rFonts w:ascii="Verdana" w:hAnsi="Verdana" w:cs="Arial"/>
          <w:color w:val="000000" w:themeColor="text1"/>
          <w:sz w:val="20"/>
          <w:szCs w:val="20"/>
        </w:rPr>
        <w:t>plan de negocio y operaciones autorizadas a cada entidad. Los modelos estadísticos y econométricos que la entidad diseñe deben ser robustos</w:t>
      </w:r>
      <w:r w:rsidRPr="007F05DD">
        <w:rPr>
          <w:rStyle w:val="Titulo3Car"/>
          <w:rFonts w:ascii="Verdana" w:hAnsi="Verdana"/>
          <w:b w:val="0"/>
          <w:color w:val="000000" w:themeColor="text1"/>
          <w:sz w:val="20"/>
          <w:szCs w:val="20"/>
        </w:rPr>
        <w:t>.</w:t>
      </w:r>
    </w:p>
    <w:p w14:paraId="3F8FF065" w14:textId="77777777" w:rsidR="00BB7419" w:rsidRPr="007F05DD" w:rsidRDefault="00BB7419" w:rsidP="00BB7419">
      <w:pPr>
        <w:pStyle w:val="Prrafodelista"/>
        <w:rPr>
          <w:rFonts w:ascii="Verdana" w:hAnsi="Verdana" w:cs="Arial"/>
          <w:color w:val="000000" w:themeColor="text1"/>
          <w:sz w:val="20"/>
          <w:szCs w:val="20"/>
          <w:lang w:val="es-ES_tradnl"/>
        </w:rPr>
      </w:pPr>
    </w:p>
    <w:p w14:paraId="3CBB3805" w14:textId="77777777" w:rsidR="001E7698" w:rsidRPr="007F05DD" w:rsidRDefault="001645B3" w:rsidP="00905381">
      <w:pPr>
        <w:pStyle w:val="Prrafodelista"/>
        <w:numPr>
          <w:ilvl w:val="0"/>
          <w:numId w:val="3"/>
        </w:numPr>
        <w:ind w:left="567" w:hanging="567"/>
        <w:jc w:val="both"/>
        <w:rPr>
          <w:rFonts w:ascii="Verdana" w:hAnsi="Verdana" w:cs="Arial"/>
          <w:color w:val="000000" w:themeColor="text1"/>
          <w:sz w:val="20"/>
          <w:szCs w:val="20"/>
          <w:lang w:val="es-ES_tradnl"/>
        </w:rPr>
      </w:pPr>
      <w:r w:rsidRPr="007F05DD">
        <w:rPr>
          <w:rFonts w:ascii="Verdana" w:hAnsi="Verdana" w:cs="Arial"/>
          <w:color w:val="000000" w:themeColor="text1"/>
          <w:sz w:val="20"/>
          <w:szCs w:val="20"/>
          <w:lang w:val="es-ES_tradnl"/>
        </w:rPr>
        <w:t xml:space="preserve">Los modelos, metodologías, procedimientos, instrumentos y supuestos a partir de los cuales se </w:t>
      </w:r>
      <w:r w:rsidRPr="007F05DD">
        <w:rPr>
          <w:rFonts w:ascii="Verdana" w:hAnsi="Verdana" w:cs="Arial"/>
          <w:color w:val="000000" w:themeColor="text1"/>
          <w:sz w:val="20"/>
          <w:szCs w:val="20"/>
        </w:rPr>
        <w:t xml:space="preserve">evalúa la respuesta de las entidades a los diferentes escenarios económicos, </w:t>
      </w:r>
      <w:r w:rsidRPr="007F05DD">
        <w:rPr>
          <w:rFonts w:ascii="Verdana" w:hAnsi="Verdana" w:cs="Arial"/>
          <w:color w:val="000000" w:themeColor="text1"/>
          <w:sz w:val="20"/>
          <w:szCs w:val="20"/>
          <w:lang w:val="es-ES_tradnl"/>
        </w:rPr>
        <w:t>deben ser explícitos, claros y sustentables y encontrarse debidamente documentados. Dada su importancia en las proyecciones, los supuestos deben ser razonables, revisados periódicamente y consistentes con los escenarios cuyo impacto se evalúa.</w:t>
      </w:r>
    </w:p>
    <w:p w14:paraId="7560E2E4" w14:textId="77777777" w:rsidR="001E7698" w:rsidRPr="007F05DD" w:rsidRDefault="001E7698" w:rsidP="001E7698">
      <w:pPr>
        <w:pStyle w:val="Prrafodelista"/>
        <w:rPr>
          <w:rFonts w:ascii="Verdana" w:hAnsi="Verdana" w:cs="Arial"/>
          <w:color w:val="000000" w:themeColor="text1"/>
          <w:sz w:val="20"/>
          <w:szCs w:val="20"/>
          <w:lang w:val="es-ES_tradnl"/>
        </w:rPr>
      </w:pPr>
    </w:p>
    <w:p w14:paraId="4F1C64CF" w14:textId="77777777" w:rsidR="00305CE0" w:rsidRPr="007F05DD" w:rsidRDefault="001645B3" w:rsidP="00905381">
      <w:pPr>
        <w:pStyle w:val="Prrafodelista"/>
        <w:numPr>
          <w:ilvl w:val="0"/>
          <w:numId w:val="3"/>
        </w:numPr>
        <w:ind w:left="567" w:hanging="567"/>
        <w:jc w:val="both"/>
        <w:rPr>
          <w:rFonts w:ascii="Verdana" w:hAnsi="Verdana" w:cs="Arial"/>
          <w:color w:val="000000" w:themeColor="text1"/>
          <w:sz w:val="20"/>
          <w:szCs w:val="20"/>
          <w:lang w:val="es-ES_tradnl"/>
        </w:rPr>
      </w:pPr>
      <w:r w:rsidRPr="007F05DD">
        <w:rPr>
          <w:rFonts w:ascii="Verdana" w:hAnsi="Verdana" w:cs="Arial"/>
          <w:color w:val="000000" w:themeColor="text1"/>
          <w:sz w:val="20"/>
          <w:szCs w:val="20"/>
          <w:lang w:val="es-ES_tradnl"/>
        </w:rPr>
        <w:t>Los modelos y las metodologías deben contribuir en la gestión de riesgos de cada entidad. Además, teniendo en cuenta que el EPR recoge el impacto de los riesgos de una manera integral, los resultados que arrojen esos modelos deben constituir un insumo importante para la toma de decisiones en la gestión de los riesgos, el capital, la liquidez, los activos y los pasivos de la entidad.</w:t>
      </w:r>
    </w:p>
    <w:p w14:paraId="0F5436A3" w14:textId="77777777" w:rsidR="00305CE0" w:rsidRPr="007F05DD" w:rsidRDefault="00305CE0" w:rsidP="00305CE0">
      <w:pPr>
        <w:pStyle w:val="Prrafodelista"/>
        <w:rPr>
          <w:rFonts w:ascii="Verdana" w:hAnsi="Verdana" w:cs="Arial"/>
          <w:color w:val="000000" w:themeColor="text1"/>
          <w:sz w:val="20"/>
          <w:szCs w:val="20"/>
          <w:lang w:val="es-ES_tradnl"/>
        </w:rPr>
      </w:pPr>
    </w:p>
    <w:p w14:paraId="0AB1756A" w14:textId="77777777" w:rsidR="00891E18" w:rsidRPr="007F05DD" w:rsidRDefault="001645B3" w:rsidP="00905381">
      <w:pPr>
        <w:pStyle w:val="Prrafodelista"/>
        <w:numPr>
          <w:ilvl w:val="0"/>
          <w:numId w:val="3"/>
        </w:numPr>
        <w:ind w:left="567" w:hanging="567"/>
        <w:jc w:val="both"/>
        <w:rPr>
          <w:rStyle w:val="Titulo3Car"/>
          <w:rFonts w:ascii="Verdana" w:hAnsi="Verdana"/>
          <w:b w:val="0"/>
          <w:bCs w:val="0"/>
          <w:color w:val="000000" w:themeColor="text1"/>
          <w:sz w:val="20"/>
          <w:szCs w:val="20"/>
          <w:lang w:val="es-CO" w:eastAsia="en-US"/>
        </w:rPr>
      </w:pPr>
      <w:r w:rsidRPr="007F05DD">
        <w:rPr>
          <w:rFonts w:ascii="Verdana" w:hAnsi="Verdana" w:cs="Arial"/>
          <w:color w:val="000000" w:themeColor="text1"/>
          <w:sz w:val="20"/>
          <w:szCs w:val="20"/>
          <w:lang w:val="es-ES_tradnl"/>
        </w:rPr>
        <w:t>En el caso de las pruebas requeridas por la SFC, los modelos y metodologías deben utilizar las proyecciones de las variables suministradas en los escenarios base y adverso, de acuerdo con la periodicidad y el horizonte de tiempo que se estipule en la proforma establecida para tal fin</w:t>
      </w:r>
      <w:r w:rsidRPr="007F05DD">
        <w:rPr>
          <w:rStyle w:val="Titulo3Car"/>
          <w:rFonts w:ascii="Verdana" w:hAnsi="Verdana"/>
          <w:b w:val="0"/>
          <w:color w:val="000000" w:themeColor="text1"/>
          <w:sz w:val="20"/>
          <w:szCs w:val="20"/>
        </w:rPr>
        <w:t>.</w:t>
      </w:r>
    </w:p>
    <w:p w14:paraId="54F22BE3" w14:textId="77777777" w:rsidR="00891E18" w:rsidRPr="007F05DD" w:rsidRDefault="00891E18" w:rsidP="00891E18">
      <w:pPr>
        <w:pStyle w:val="Prrafodelista"/>
        <w:rPr>
          <w:rFonts w:ascii="Verdana" w:hAnsi="Verdana" w:cs="Arial"/>
          <w:color w:val="000000" w:themeColor="text1"/>
          <w:sz w:val="20"/>
          <w:szCs w:val="20"/>
        </w:rPr>
      </w:pPr>
    </w:p>
    <w:p w14:paraId="4566755C" w14:textId="7E922B1E" w:rsidR="001645B3" w:rsidRPr="007F05DD" w:rsidRDefault="001645B3" w:rsidP="00905381">
      <w:pPr>
        <w:pStyle w:val="Prrafodelista"/>
        <w:numPr>
          <w:ilvl w:val="0"/>
          <w:numId w:val="3"/>
        </w:numPr>
        <w:ind w:left="567"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Los modelos y metodologías que diseñen e implementen las entidades en el marco del EPR no deben ser presentados a la SFC para concepto de no objeción. No </w:t>
      </w:r>
      <w:r w:rsidR="008F7889" w:rsidRPr="007F05DD">
        <w:rPr>
          <w:rFonts w:ascii="Verdana" w:hAnsi="Verdana" w:cs="Arial"/>
          <w:color w:val="000000" w:themeColor="text1"/>
          <w:sz w:val="20"/>
          <w:szCs w:val="20"/>
        </w:rPr>
        <w:t>obstante,</w:t>
      </w:r>
      <w:r w:rsidRPr="007F05DD">
        <w:rPr>
          <w:rFonts w:ascii="Verdana" w:hAnsi="Verdana" w:cs="Arial"/>
          <w:color w:val="000000" w:themeColor="text1"/>
          <w:sz w:val="20"/>
          <w:szCs w:val="20"/>
        </w:rPr>
        <w:t xml:space="preserve"> la SFC puede requerir a las entidades modificaciones a sus modelos y metodologías en los siguientes casos:</w:t>
      </w:r>
    </w:p>
    <w:p w14:paraId="12CC6804" w14:textId="77777777" w:rsidR="00D170FD" w:rsidRPr="007F05DD" w:rsidRDefault="00D170FD" w:rsidP="00D170FD">
      <w:pPr>
        <w:pStyle w:val="Prrafodelista"/>
        <w:rPr>
          <w:rFonts w:ascii="Verdana" w:hAnsi="Verdana" w:cs="Arial"/>
          <w:color w:val="000000" w:themeColor="text1"/>
          <w:sz w:val="20"/>
          <w:szCs w:val="20"/>
        </w:rPr>
      </w:pPr>
    </w:p>
    <w:p w14:paraId="01805C04" w14:textId="3EA41B94" w:rsidR="00BF315B" w:rsidRPr="00947184" w:rsidRDefault="001645B3" w:rsidP="00905381">
      <w:pPr>
        <w:pStyle w:val="Prrafodelista"/>
        <w:numPr>
          <w:ilvl w:val="0"/>
          <w:numId w:val="4"/>
        </w:numPr>
        <w:ind w:left="1134"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lastRenderedPageBreak/>
        <w:t xml:space="preserve">Cuando los modelos y/o metodologías no cumplan </w:t>
      </w:r>
      <w:r w:rsidRPr="00947184">
        <w:rPr>
          <w:rFonts w:ascii="Verdana" w:hAnsi="Verdana" w:cs="Arial"/>
          <w:color w:val="000000" w:themeColor="text1"/>
          <w:sz w:val="20"/>
          <w:szCs w:val="20"/>
        </w:rPr>
        <w:t xml:space="preserve">con las características establecidas en los </w:t>
      </w:r>
      <w:r w:rsidR="005A1C42" w:rsidRPr="00947184">
        <w:rPr>
          <w:rFonts w:ascii="Verdana" w:hAnsi="Verdana" w:cs="Arial"/>
          <w:color w:val="000000" w:themeColor="text1"/>
          <w:sz w:val="20"/>
          <w:szCs w:val="20"/>
        </w:rPr>
        <w:t xml:space="preserve"> literales </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d</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 xml:space="preserve">, </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e</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 xml:space="preserve">, </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f</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 xml:space="preserve">, y </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g</w:t>
      </w:r>
      <w:r w:rsidR="00947184">
        <w:rPr>
          <w:rFonts w:ascii="Verdana" w:hAnsi="Verdana" w:cs="Arial"/>
          <w:color w:val="000000" w:themeColor="text1"/>
          <w:sz w:val="20"/>
          <w:szCs w:val="20"/>
        </w:rPr>
        <w:t>)</w:t>
      </w:r>
      <w:r w:rsidR="005A1C42" w:rsidRPr="00947184">
        <w:rPr>
          <w:rFonts w:ascii="Verdana" w:hAnsi="Verdana" w:cs="Arial"/>
          <w:color w:val="000000" w:themeColor="text1"/>
          <w:sz w:val="20"/>
          <w:szCs w:val="20"/>
        </w:rPr>
        <w:t xml:space="preserve"> del </w:t>
      </w:r>
      <w:r w:rsidR="00BD6562">
        <w:rPr>
          <w:rFonts w:ascii="Verdana" w:hAnsi="Verdana" w:cs="Arial"/>
          <w:color w:val="000000" w:themeColor="text1"/>
          <w:sz w:val="20"/>
          <w:szCs w:val="20"/>
        </w:rPr>
        <w:t>párrafo 2.9.16.</w:t>
      </w:r>
    </w:p>
    <w:p w14:paraId="7BC54DDE" w14:textId="77777777" w:rsidR="00BF315B" w:rsidRPr="007F05DD" w:rsidRDefault="00BF315B" w:rsidP="00BF315B">
      <w:pPr>
        <w:pStyle w:val="Prrafodelista"/>
        <w:ind w:left="1134"/>
        <w:jc w:val="both"/>
        <w:rPr>
          <w:rFonts w:ascii="Verdana" w:hAnsi="Verdana" w:cs="Arial"/>
          <w:color w:val="000000" w:themeColor="text1"/>
          <w:sz w:val="20"/>
          <w:szCs w:val="20"/>
        </w:rPr>
      </w:pPr>
    </w:p>
    <w:p w14:paraId="6882FFE9" w14:textId="22499980" w:rsidR="001645B3" w:rsidRPr="007F05DD" w:rsidRDefault="001645B3" w:rsidP="00905381">
      <w:pPr>
        <w:pStyle w:val="Prrafodelista"/>
        <w:numPr>
          <w:ilvl w:val="0"/>
          <w:numId w:val="4"/>
        </w:numPr>
        <w:ind w:left="1134"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Cuando del resultado de los modelos y/o metodologías se pueda concluir que no permiten una adecuada medición del impacto de los escenarios propuestos sobre los riesgos a los cuales se expone la entidad.</w:t>
      </w:r>
    </w:p>
    <w:p w14:paraId="0B1F66EE" w14:textId="77777777" w:rsidR="00E34867" w:rsidRPr="007F05DD" w:rsidRDefault="00E34867" w:rsidP="00E34867">
      <w:pPr>
        <w:pStyle w:val="Prrafodelista"/>
        <w:ind w:left="567"/>
        <w:jc w:val="both"/>
        <w:rPr>
          <w:rFonts w:ascii="Verdana" w:hAnsi="Verdana" w:cs="Arial"/>
          <w:bCs/>
          <w:color w:val="000000" w:themeColor="text1"/>
          <w:sz w:val="20"/>
          <w:szCs w:val="20"/>
          <w:lang w:val="es-ES" w:eastAsia="es-ES"/>
        </w:rPr>
      </w:pPr>
    </w:p>
    <w:p w14:paraId="0712B445" w14:textId="2149110A" w:rsidR="0026190E" w:rsidRPr="007F05DD" w:rsidRDefault="001645B3" w:rsidP="00905381">
      <w:pPr>
        <w:pStyle w:val="Prrafodelista"/>
        <w:numPr>
          <w:ilvl w:val="0"/>
          <w:numId w:val="3"/>
        </w:numPr>
        <w:ind w:left="567" w:hanging="567"/>
        <w:jc w:val="both"/>
        <w:rPr>
          <w:rFonts w:ascii="Verdana" w:hAnsi="Verdana" w:cs="Arial"/>
          <w:bCs/>
          <w:color w:val="000000" w:themeColor="text1"/>
          <w:sz w:val="20"/>
          <w:szCs w:val="20"/>
          <w:lang w:val="es-ES" w:eastAsia="es-ES"/>
        </w:rPr>
      </w:pPr>
      <w:r w:rsidRPr="007F05DD">
        <w:rPr>
          <w:rFonts w:ascii="Verdana" w:hAnsi="Verdana" w:cs="Arial"/>
          <w:color w:val="000000" w:themeColor="text1"/>
          <w:sz w:val="20"/>
          <w:szCs w:val="20"/>
          <w:lang w:val="es-ES_tradnl"/>
        </w:rPr>
        <w:t>Las pruebas de resistencia deben tener en cuenta los límites y los factores de riesgo, internos y regulatorios, contemplados en sus sistemas de administración de riesgos.</w:t>
      </w:r>
    </w:p>
    <w:p w14:paraId="07872DD3" w14:textId="77777777" w:rsidR="004741D1" w:rsidRPr="007F05DD" w:rsidRDefault="004741D1" w:rsidP="004741D1">
      <w:pPr>
        <w:pStyle w:val="Prrafodelista"/>
        <w:ind w:left="567" w:hanging="567"/>
        <w:jc w:val="both"/>
        <w:rPr>
          <w:rFonts w:ascii="Verdana" w:hAnsi="Verdana" w:cs="Arial"/>
          <w:bCs/>
          <w:color w:val="000000" w:themeColor="text1"/>
          <w:sz w:val="20"/>
          <w:szCs w:val="20"/>
          <w:lang w:val="es-ES" w:eastAsia="es-ES"/>
        </w:rPr>
      </w:pPr>
    </w:p>
    <w:p w14:paraId="70A64CB8" w14:textId="0B425520" w:rsidR="004741D1" w:rsidRPr="007F05DD" w:rsidRDefault="001645B3" w:rsidP="00905381">
      <w:pPr>
        <w:pStyle w:val="Prrafodelista"/>
        <w:numPr>
          <w:ilvl w:val="0"/>
          <w:numId w:val="3"/>
        </w:numPr>
        <w:ind w:left="567" w:hanging="567"/>
        <w:jc w:val="both"/>
        <w:rPr>
          <w:rStyle w:val="Titulo3Car"/>
          <w:rFonts w:ascii="Verdana" w:hAnsi="Verdana"/>
          <w:b w:val="0"/>
          <w:bCs w:val="0"/>
          <w:color w:val="000000" w:themeColor="text1"/>
          <w:sz w:val="20"/>
          <w:szCs w:val="20"/>
          <w:lang w:val="es-ES_tradnl" w:eastAsia="en-US"/>
        </w:rPr>
      </w:pPr>
      <w:r w:rsidRPr="007F05DD">
        <w:rPr>
          <w:rStyle w:val="Titulo3Car"/>
          <w:rFonts w:ascii="Verdana" w:hAnsi="Verdana"/>
          <w:b w:val="0"/>
          <w:color w:val="000000" w:themeColor="text1"/>
          <w:sz w:val="20"/>
          <w:szCs w:val="20"/>
        </w:rPr>
        <w:t>El EPR debe facilitar la elaboración periódica de reportes gerenciales y de monitoreo de los riesgos evaluados, con el fin de contribuir en la medición del perfil de riesgo de la entidad.</w:t>
      </w:r>
    </w:p>
    <w:p w14:paraId="36DA2395" w14:textId="77777777" w:rsidR="004741D1" w:rsidRPr="007F05DD" w:rsidRDefault="004741D1" w:rsidP="004741D1">
      <w:pPr>
        <w:pStyle w:val="Prrafodelista"/>
        <w:ind w:left="567" w:hanging="567"/>
        <w:rPr>
          <w:rFonts w:ascii="Verdana" w:hAnsi="Verdana" w:cs="Arial"/>
          <w:color w:val="000000" w:themeColor="text1"/>
          <w:sz w:val="20"/>
          <w:szCs w:val="20"/>
          <w:lang w:val="es-ES_tradnl"/>
        </w:rPr>
      </w:pPr>
    </w:p>
    <w:p w14:paraId="6B7C73A1" w14:textId="6443B64F" w:rsidR="004741D1" w:rsidRPr="007F05DD" w:rsidRDefault="001645B3" w:rsidP="00905381">
      <w:pPr>
        <w:pStyle w:val="Prrafodelista"/>
        <w:numPr>
          <w:ilvl w:val="0"/>
          <w:numId w:val="3"/>
        </w:numPr>
        <w:ind w:left="567" w:hanging="567"/>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Las entidades deben evaluar periódicamente sus EPR con el objeto de realizar los ajustes que consideren necesarios para su efectivo, eficiente y oportuno funcionamiento, de forma tal que </w:t>
      </w:r>
      <w:r w:rsidRPr="007F05DD">
        <w:rPr>
          <w:rFonts w:ascii="Verdana" w:hAnsi="Verdana" w:cs="Arial"/>
          <w:color w:val="000000" w:themeColor="text1"/>
          <w:sz w:val="20"/>
          <w:szCs w:val="20"/>
          <w:lang w:val="es-ES_tradnl"/>
        </w:rPr>
        <w:t>recojan los cambios en las condiciones propias de la entidad, su plan de negocios y el entorno económico en general.</w:t>
      </w:r>
    </w:p>
    <w:p w14:paraId="206CDFFA" w14:textId="77777777" w:rsidR="004741D1" w:rsidRPr="007F05DD" w:rsidRDefault="004741D1" w:rsidP="004741D1">
      <w:pPr>
        <w:pStyle w:val="Prrafodelista"/>
        <w:ind w:left="567" w:hanging="567"/>
        <w:rPr>
          <w:rFonts w:ascii="Verdana" w:hAnsi="Verdana" w:cs="Arial"/>
          <w:color w:val="000000" w:themeColor="text1"/>
          <w:sz w:val="20"/>
          <w:szCs w:val="20"/>
        </w:rPr>
      </w:pPr>
    </w:p>
    <w:p w14:paraId="2B46F2F5" w14:textId="23056095" w:rsidR="004741D1" w:rsidRPr="007F05DD" w:rsidRDefault="001645B3" w:rsidP="00905381">
      <w:pPr>
        <w:pStyle w:val="Prrafodelista"/>
        <w:numPr>
          <w:ilvl w:val="0"/>
          <w:numId w:val="3"/>
        </w:numPr>
        <w:ind w:left="567" w:hanging="567"/>
        <w:jc w:val="both"/>
        <w:rPr>
          <w:rFonts w:ascii="Verdana" w:hAnsi="Verdana" w:cs="Arial"/>
          <w:color w:val="000000" w:themeColor="text1"/>
          <w:sz w:val="20"/>
          <w:szCs w:val="20"/>
          <w:lang w:val="es-ES_tradnl"/>
        </w:rPr>
      </w:pPr>
      <w:bookmarkStart w:id="7" w:name="OLE_LINK8"/>
      <w:bookmarkStart w:id="8" w:name="OLE_LINK9"/>
      <w:r w:rsidRPr="007F05DD">
        <w:rPr>
          <w:rFonts w:ascii="Verdana" w:hAnsi="Verdana" w:cs="Arial"/>
          <w:color w:val="000000" w:themeColor="text1"/>
          <w:sz w:val="20"/>
          <w:szCs w:val="20"/>
        </w:rPr>
        <w:t>Los resultados obtenidos a partir de los modelos y las metodologías, así como toda la documentación sobre sus parámetros, supuestos, construcción y funcionamiento</w:t>
      </w:r>
      <w:bookmarkEnd w:id="7"/>
      <w:bookmarkEnd w:id="8"/>
      <w:r w:rsidRPr="007F05DD">
        <w:rPr>
          <w:rFonts w:ascii="Verdana" w:hAnsi="Verdana" w:cs="Arial"/>
          <w:color w:val="000000" w:themeColor="text1"/>
          <w:sz w:val="20"/>
          <w:szCs w:val="20"/>
        </w:rPr>
        <w:t>, deben estar a disposición de la SFC en cualquier momento.</w:t>
      </w:r>
    </w:p>
    <w:p w14:paraId="5BE36AF5" w14:textId="77777777" w:rsidR="004741D1" w:rsidRPr="007F05DD" w:rsidRDefault="004741D1" w:rsidP="004741D1">
      <w:pPr>
        <w:pStyle w:val="Prrafodelista"/>
        <w:ind w:left="567" w:hanging="567"/>
        <w:rPr>
          <w:rFonts w:ascii="Verdana" w:hAnsi="Verdana" w:cs="Arial"/>
          <w:color w:val="000000" w:themeColor="text1"/>
          <w:sz w:val="20"/>
          <w:szCs w:val="20"/>
          <w:lang w:val="es-ES_tradnl"/>
        </w:rPr>
      </w:pPr>
    </w:p>
    <w:p w14:paraId="2268DF5F" w14:textId="77777777" w:rsidR="00823B58" w:rsidRPr="007F05DD" w:rsidRDefault="001645B3" w:rsidP="00905381">
      <w:pPr>
        <w:pStyle w:val="Prrafodelista"/>
        <w:numPr>
          <w:ilvl w:val="0"/>
          <w:numId w:val="3"/>
        </w:numPr>
        <w:ind w:left="567" w:hanging="567"/>
        <w:jc w:val="both"/>
        <w:rPr>
          <w:rFonts w:ascii="Verdana" w:hAnsi="Verdana" w:cs="Arial"/>
          <w:color w:val="000000" w:themeColor="text1"/>
          <w:sz w:val="20"/>
          <w:szCs w:val="20"/>
          <w:lang w:val="es-ES_tradnl"/>
        </w:rPr>
      </w:pPr>
      <w:r w:rsidRPr="007F05DD">
        <w:rPr>
          <w:rFonts w:ascii="Verdana" w:hAnsi="Verdana" w:cs="Arial"/>
          <w:color w:val="000000" w:themeColor="text1"/>
          <w:sz w:val="20"/>
          <w:szCs w:val="20"/>
          <w:lang w:val="es-ES_tradnl"/>
        </w:rPr>
        <w:t>Los procesos y procedimientos establecidos por las entidades para la adopción del EPR, así como su aprobación expresa por la JD deben estar documentados y a disposición de la SFC.</w:t>
      </w:r>
    </w:p>
    <w:p w14:paraId="4F6DDD9F" w14:textId="7C69571C" w:rsidR="001645B3" w:rsidRPr="00AC2078" w:rsidRDefault="00CF5D84" w:rsidP="00823B58">
      <w:pPr>
        <w:jc w:val="both"/>
        <w:rPr>
          <w:rStyle w:val="Titulo3Car"/>
          <w:rFonts w:ascii="Verdana" w:hAnsi="Verdana"/>
          <w:bCs w:val="0"/>
          <w:color w:val="000000" w:themeColor="text1"/>
          <w:sz w:val="20"/>
          <w:szCs w:val="20"/>
        </w:rPr>
      </w:pPr>
      <w:r w:rsidRPr="007F05DD">
        <w:rPr>
          <w:rStyle w:val="Titulo3Car"/>
          <w:rFonts w:ascii="Verdana" w:hAnsi="Verdana"/>
          <w:bCs w:val="0"/>
          <w:color w:val="000000" w:themeColor="text1"/>
          <w:sz w:val="20"/>
          <w:szCs w:val="20"/>
        </w:rPr>
        <w:t xml:space="preserve">PERIODICIDAD </w:t>
      </w:r>
    </w:p>
    <w:p w14:paraId="61589155" w14:textId="3957207F" w:rsidR="00823B58" w:rsidRPr="007F05DD" w:rsidRDefault="00823B58" w:rsidP="00823B58">
      <w:pPr>
        <w:spacing w:after="0"/>
        <w:rPr>
          <w:rFonts w:ascii="Verdana" w:hAnsi="Verdana"/>
          <w:sz w:val="20"/>
          <w:szCs w:val="20"/>
        </w:rPr>
      </w:pPr>
      <w:r w:rsidRPr="007F05DD">
        <w:rPr>
          <w:rFonts w:ascii="Verdana" w:hAnsi="Verdana"/>
          <w:sz w:val="20"/>
          <w:szCs w:val="20"/>
        </w:rPr>
        <w:t>2.9.</w:t>
      </w:r>
      <w:r w:rsidR="00951CBD" w:rsidRPr="7535FFF9">
        <w:rPr>
          <w:rFonts w:ascii="Verdana" w:hAnsi="Verdana"/>
          <w:sz w:val="20"/>
          <w:szCs w:val="20"/>
        </w:rPr>
        <w:t>1</w:t>
      </w:r>
      <w:r w:rsidR="5BBA47C5" w:rsidRPr="7535FFF9">
        <w:rPr>
          <w:rFonts w:ascii="Verdana" w:hAnsi="Verdana"/>
          <w:sz w:val="20"/>
          <w:szCs w:val="20"/>
        </w:rPr>
        <w:t>7</w:t>
      </w:r>
      <w:r w:rsidRPr="007F05DD">
        <w:rPr>
          <w:rFonts w:ascii="Verdana" w:hAnsi="Verdana"/>
          <w:sz w:val="20"/>
          <w:szCs w:val="20"/>
        </w:rPr>
        <w:t>.</w:t>
      </w:r>
    </w:p>
    <w:p w14:paraId="43B8D8D4" w14:textId="77777777" w:rsidR="001645B3" w:rsidRPr="007F05DD" w:rsidRDefault="001645B3" w:rsidP="001645B3">
      <w:pPr>
        <w:jc w:val="both"/>
        <w:rPr>
          <w:rFonts w:ascii="Verdana" w:hAnsi="Verdana" w:cs="Arial"/>
          <w:color w:val="000000" w:themeColor="text1"/>
          <w:sz w:val="20"/>
          <w:szCs w:val="20"/>
          <w:lang w:val="es-ES_tradnl"/>
        </w:rPr>
      </w:pPr>
      <w:r w:rsidRPr="007F05DD">
        <w:rPr>
          <w:rFonts w:ascii="Verdana" w:hAnsi="Verdana" w:cs="Arial"/>
          <w:color w:val="000000" w:themeColor="text1"/>
          <w:sz w:val="20"/>
          <w:szCs w:val="20"/>
        </w:rPr>
        <w:t>Las entidades deben llevar a cabo tanto las pruebas de resistencia que utilizan para su planeación financiera como las requeridas por la SFC, como mínimo una vez al año. L</w:t>
      </w:r>
      <w:r w:rsidRPr="007F05DD">
        <w:rPr>
          <w:rFonts w:ascii="Verdana" w:hAnsi="Verdana" w:cs="Arial"/>
          <w:color w:val="000000" w:themeColor="text1"/>
          <w:sz w:val="20"/>
          <w:szCs w:val="20"/>
          <w:lang w:val="es-ES_tradnl"/>
        </w:rPr>
        <w:t>as entidades deben estar en capacidad de aumentar la periodicidad de las pruebas bajo escenarios especiales, motivados por cambios en las condiciones del entorno económico, por factores idiosincrásicos o por requerimiento de la SFC.</w:t>
      </w:r>
    </w:p>
    <w:p w14:paraId="675622E5" w14:textId="4D48F199" w:rsidR="007F05DD" w:rsidRPr="007F05DD" w:rsidRDefault="00CF5D84" w:rsidP="007F05DD">
      <w:pPr>
        <w:jc w:val="both"/>
        <w:rPr>
          <w:rFonts w:ascii="Verdana" w:hAnsi="Verdana" w:cs="Arial"/>
          <w:b/>
          <w:color w:val="000000" w:themeColor="text1"/>
          <w:sz w:val="20"/>
          <w:szCs w:val="20"/>
          <w:lang w:val="es-ES" w:eastAsia="es-ES"/>
        </w:rPr>
      </w:pPr>
      <w:bookmarkStart w:id="9" w:name="_Toc417459223"/>
      <w:r w:rsidRPr="007F05DD">
        <w:rPr>
          <w:rStyle w:val="Titulo3Car"/>
          <w:rFonts w:ascii="Verdana" w:hAnsi="Verdana"/>
          <w:bCs w:val="0"/>
          <w:color w:val="000000" w:themeColor="text1"/>
          <w:sz w:val="20"/>
          <w:szCs w:val="20"/>
        </w:rPr>
        <w:t>RESPONSABILIDADES</w:t>
      </w:r>
      <w:bookmarkEnd w:id="9"/>
    </w:p>
    <w:p w14:paraId="66D21076" w14:textId="3951EBBB" w:rsidR="005963F6" w:rsidRPr="007F05DD" w:rsidRDefault="005963F6" w:rsidP="005963F6">
      <w:pPr>
        <w:spacing w:after="0"/>
        <w:rPr>
          <w:rFonts w:ascii="Verdana" w:hAnsi="Verdana"/>
          <w:sz w:val="20"/>
          <w:szCs w:val="20"/>
        </w:rPr>
      </w:pPr>
      <w:r w:rsidRPr="007F05DD">
        <w:rPr>
          <w:rFonts w:ascii="Verdana" w:hAnsi="Verdana"/>
          <w:sz w:val="20"/>
          <w:szCs w:val="20"/>
        </w:rPr>
        <w:t>2.9.</w:t>
      </w:r>
      <w:r w:rsidRPr="7535FFF9">
        <w:rPr>
          <w:rFonts w:ascii="Verdana" w:hAnsi="Verdana"/>
          <w:sz w:val="20"/>
          <w:szCs w:val="20"/>
        </w:rPr>
        <w:t>1</w:t>
      </w:r>
      <w:r w:rsidR="7BF1BC17" w:rsidRPr="7535FFF9">
        <w:rPr>
          <w:rFonts w:ascii="Verdana" w:hAnsi="Verdana"/>
          <w:sz w:val="20"/>
          <w:szCs w:val="20"/>
        </w:rPr>
        <w:t>8</w:t>
      </w:r>
      <w:r w:rsidRPr="007F05DD">
        <w:rPr>
          <w:rFonts w:ascii="Verdana" w:hAnsi="Verdana"/>
          <w:sz w:val="20"/>
          <w:szCs w:val="20"/>
        </w:rPr>
        <w:t>.</w:t>
      </w:r>
    </w:p>
    <w:p w14:paraId="1A6223F5" w14:textId="57B0FBDB"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La JD debe aprobar la asignación de los recursos humanos, tecnológicos, físicos y técnicos para la implementación del EPR y en particular para la realización de las pruebas de resistencia.</w:t>
      </w:r>
    </w:p>
    <w:p w14:paraId="3BBAEEDB" w14:textId="2CB1E5E9" w:rsidR="00C06BA2" w:rsidRPr="007F05DD" w:rsidRDefault="00C06BA2" w:rsidP="00C06BA2">
      <w:pPr>
        <w:spacing w:after="0"/>
        <w:rPr>
          <w:rFonts w:ascii="Verdana" w:hAnsi="Verdana"/>
          <w:sz w:val="20"/>
          <w:szCs w:val="20"/>
        </w:rPr>
      </w:pPr>
      <w:r w:rsidRPr="007F05DD">
        <w:rPr>
          <w:rFonts w:ascii="Verdana" w:hAnsi="Verdana"/>
          <w:sz w:val="20"/>
          <w:szCs w:val="20"/>
        </w:rPr>
        <w:t>2.9.</w:t>
      </w:r>
      <w:r w:rsidR="29085703" w:rsidRPr="7535FFF9">
        <w:rPr>
          <w:rFonts w:ascii="Verdana" w:hAnsi="Verdana"/>
          <w:sz w:val="20"/>
          <w:szCs w:val="20"/>
        </w:rPr>
        <w:t>19</w:t>
      </w:r>
      <w:r w:rsidRPr="007F05DD">
        <w:rPr>
          <w:rFonts w:ascii="Verdana" w:hAnsi="Verdana"/>
          <w:sz w:val="20"/>
          <w:szCs w:val="20"/>
        </w:rPr>
        <w:t>.</w:t>
      </w:r>
    </w:p>
    <w:p w14:paraId="1A7C744E" w14:textId="70C18DBA"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De acuerdo con las instrucciones que imparta la JD, la alta gerencia debe establecer los lineamientos para la implementación del EPR y señalar los procedimientos, responsabilidades y atribuciones asignadas a los cargos y áreas relacionadas con dicha implementación, para garantizar la adecuada </w:t>
      </w:r>
      <w:r w:rsidRPr="007F05DD">
        <w:rPr>
          <w:rFonts w:ascii="Verdana" w:hAnsi="Verdana" w:cs="Arial"/>
          <w:color w:val="000000" w:themeColor="text1"/>
          <w:sz w:val="20"/>
          <w:szCs w:val="20"/>
          <w:lang w:val="es-ES_tradnl"/>
        </w:rPr>
        <w:t>realización de las pruebas de resistencia</w:t>
      </w:r>
      <w:r w:rsidRPr="007F05DD">
        <w:rPr>
          <w:rFonts w:ascii="Verdana" w:hAnsi="Verdana" w:cs="Arial"/>
          <w:color w:val="000000" w:themeColor="text1"/>
          <w:sz w:val="20"/>
          <w:szCs w:val="20"/>
        </w:rPr>
        <w:t>.</w:t>
      </w:r>
    </w:p>
    <w:p w14:paraId="63FD0051" w14:textId="6A3B4374" w:rsidR="00FB2C83" w:rsidRPr="007F05DD" w:rsidRDefault="00FB2C83" w:rsidP="00FB2C83">
      <w:pPr>
        <w:spacing w:after="0"/>
        <w:rPr>
          <w:rFonts w:ascii="Verdana" w:hAnsi="Verdana"/>
          <w:sz w:val="20"/>
          <w:szCs w:val="20"/>
        </w:rPr>
      </w:pPr>
      <w:r w:rsidRPr="007F05DD">
        <w:rPr>
          <w:rFonts w:ascii="Verdana" w:hAnsi="Verdana"/>
          <w:sz w:val="20"/>
          <w:szCs w:val="20"/>
        </w:rPr>
        <w:t>2.9.</w:t>
      </w:r>
      <w:r w:rsidR="23E28453" w:rsidRPr="7535FFF9">
        <w:rPr>
          <w:rFonts w:ascii="Verdana" w:hAnsi="Verdana"/>
          <w:sz w:val="20"/>
          <w:szCs w:val="20"/>
        </w:rPr>
        <w:t>20</w:t>
      </w:r>
      <w:r w:rsidRPr="007F05DD">
        <w:rPr>
          <w:rFonts w:ascii="Verdana" w:hAnsi="Verdana"/>
          <w:sz w:val="20"/>
          <w:szCs w:val="20"/>
        </w:rPr>
        <w:t>.</w:t>
      </w:r>
    </w:p>
    <w:p w14:paraId="4DC6E932" w14:textId="488EB1D2"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El área designada por la alta gerencia debe diseñar e implementar los modelos del EPR y documentar sus parámetros, supuestos y funcionamiento, así como la realización de las pruebas. </w:t>
      </w:r>
      <w:r w:rsidR="00E7506C" w:rsidRPr="007F05DD">
        <w:rPr>
          <w:rFonts w:ascii="Verdana" w:hAnsi="Verdana" w:cs="Arial"/>
          <w:color w:val="000000" w:themeColor="text1"/>
          <w:sz w:val="20"/>
          <w:szCs w:val="20"/>
        </w:rPr>
        <w:t>Además,</w:t>
      </w:r>
      <w:r w:rsidRPr="007F05DD">
        <w:rPr>
          <w:rFonts w:ascii="Verdana" w:hAnsi="Verdana" w:cs="Arial"/>
          <w:color w:val="000000" w:themeColor="text1"/>
          <w:sz w:val="20"/>
          <w:szCs w:val="20"/>
        </w:rPr>
        <w:t xml:space="preserve"> debe garantizar que los supuestos sean razonables, revisados periódicamente y consistentes con los escenarios cuyo impacto se evalúa. </w:t>
      </w:r>
    </w:p>
    <w:p w14:paraId="4DC6A041" w14:textId="4BF6054C" w:rsidR="00761D2C" w:rsidRPr="007F05DD" w:rsidRDefault="00761D2C" w:rsidP="00761D2C">
      <w:pPr>
        <w:spacing w:after="0"/>
        <w:rPr>
          <w:rFonts w:ascii="Verdana" w:hAnsi="Verdana"/>
          <w:sz w:val="20"/>
          <w:szCs w:val="20"/>
        </w:rPr>
      </w:pPr>
      <w:r w:rsidRPr="007F05DD">
        <w:rPr>
          <w:rFonts w:ascii="Verdana" w:hAnsi="Verdana"/>
          <w:sz w:val="20"/>
          <w:szCs w:val="20"/>
        </w:rPr>
        <w:t>2.9.</w:t>
      </w:r>
      <w:r w:rsidR="3077FCF8" w:rsidRPr="7535FFF9">
        <w:rPr>
          <w:rFonts w:ascii="Verdana" w:hAnsi="Verdana"/>
          <w:sz w:val="20"/>
          <w:szCs w:val="20"/>
        </w:rPr>
        <w:t>21</w:t>
      </w:r>
      <w:r w:rsidRPr="007F05DD">
        <w:rPr>
          <w:rFonts w:ascii="Verdana" w:hAnsi="Verdana"/>
          <w:sz w:val="20"/>
          <w:szCs w:val="20"/>
        </w:rPr>
        <w:t>.</w:t>
      </w:r>
    </w:p>
    <w:p w14:paraId="39E39354" w14:textId="1D4B2713"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La JD debe tener un oportuno conocimiento del EPR y aprobarlo.</w:t>
      </w:r>
    </w:p>
    <w:p w14:paraId="6726B74D" w14:textId="4C174F76" w:rsidR="00BC10B5" w:rsidRPr="007F05DD" w:rsidRDefault="00BC10B5" w:rsidP="00BC10B5">
      <w:pPr>
        <w:spacing w:after="0"/>
        <w:rPr>
          <w:rFonts w:ascii="Verdana" w:hAnsi="Verdana"/>
          <w:sz w:val="20"/>
          <w:szCs w:val="20"/>
        </w:rPr>
      </w:pPr>
      <w:r w:rsidRPr="007F05DD">
        <w:rPr>
          <w:rFonts w:ascii="Verdana" w:hAnsi="Verdana"/>
          <w:sz w:val="20"/>
          <w:szCs w:val="20"/>
        </w:rPr>
        <w:t>2.9.</w:t>
      </w:r>
      <w:r w:rsidR="00905381" w:rsidRPr="7535FFF9">
        <w:rPr>
          <w:rFonts w:ascii="Verdana" w:hAnsi="Verdana"/>
          <w:sz w:val="20"/>
          <w:szCs w:val="20"/>
        </w:rPr>
        <w:t>2</w:t>
      </w:r>
      <w:r w:rsidR="188B4FC7" w:rsidRPr="7535FFF9">
        <w:rPr>
          <w:rFonts w:ascii="Verdana" w:hAnsi="Verdana"/>
          <w:sz w:val="20"/>
          <w:szCs w:val="20"/>
        </w:rPr>
        <w:t>2</w:t>
      </w:r>
      <w:r w:rsidRPr="007F05DD">
        <w:rPr>
          <w:rFonts w:ascii="Verdana" w:hAnsi="Verdana"/>
          <w:sz w:val="20"/>
          <w:szCs w:val="20"/>
        </w:rPr>
        <w:t>.</w:t>
      </w:r>
    </w:p>
    <w:p w14:paraId="3CFD1758" w14:textId="44A7ED77" w:rsidR="00CF5D84" w:rsidRPr="00D84ADB" w:rsidRDefault="001645B3" w:rsidP="00D84ADB">
      <w:pPr>
        <w:jc w:val="both"/>
        <w:rPr>
          <w:rFonts w:ascii="Verdana" w:hAnsi="Verdana" w:cs="Arial"/>
          <w:color w:val="000000" w:themeColor="text1"/>
          <w:sz w:val="20"/>
          <w:szCs w:val="20"/>
        </w:rPr>
      </w:pPr>
      <w:r w:rsidRPr="007F05DD">
        <w:rPr>
          <w:rFonts w:ascii="Verdana" w:hAnsi="Verdana" w:cs="Arial"/>
          <w:color w:val="000000" w:themeColor="text1"/>
          <w:sz w:val="20"/>
          <w:szCs w:val="20"/>
        </w:rPr>
        <w:t>La JD debe conocer oportunamente, hacer seguimiento y pronunciarse, en caso necesario, respecto de los resultados de las pruebas de resistencia y utilizarlos en su proceso de toma de decisiones y en el diseño del plan de negocio</w:t>
      </w:r>
      <w:r w:rsidR="00D84ADB">
        <w:rPr>
          <w:rFonts w:ascii="Verdana" w:hAnsi="Verdana" w:cs="Arial"/>
          <w:color w:val="000000" w:themeColor="text1"/>
          <w:sz w:val="20"/>
          <w:szCs w:val="20"/>
        </w:rPr>
        <w:t>.</w:t>
      </w:r>
    </w:p>
    <w:p w14:paraId="023824B1" w14:textId="2A1B5E96" w:rsidR="004B569A" w:rsidRPr="007F05DD" w:rsidRDefault="004B569A" w:rsidP="004B569A">
      <w:pPr>
        <w:spacing w:after="0"/>
        <w:rPr>
          <w:rFonts w:ascii="Verdana" w:hAnsi="Verdana"/>
          <w:sz w:val="20"/>
          <w:szCs w:val="20"/>
        </w:rPr>
      </w:pPr>
      <w:r w:rsidRPr="007F05DD">
        <w:rPr>
          <w:rFonts w:ascii="Verdana" w:hAnsi="Verdana"/>
          <w:sz w:val="20"/>
          <w:szCs w:val="20"/>
        </w:rPr>
        <w:t>2.9.</w:t>
      </w:r>
      <w:r w:rsidR="00905381" w:rsidRPr="7535FFF9">
        <w:rPr>
          <w:rFonts w:ascii="Verdana" w:hAnsi="Verdana"/>
          <w:sz w:val="20"/>
          <w:szCs w:val="20"/>
        </w:rPr>
        <w:t>2</w:t>
      </w:r>
      <w:r w:rsidR="50DDFD37" w:rsidRPr="7535FFF9">
        <w:rPr>
          <w:rFonts w:ascii="Verdana" w:hAnsi="Verdana"/>
          <w:sz w:val="20"/>
          <w:szCs w:val="20"/>
        </w:rPr>
        <w:t>3</w:t>
      </w:r>
      <w:r w:rsidRPr="007F05DD">
        <w:rPr>
          <w:rFonts w:ascii="Verdana" w:hAnsi="Verdana"/>
          <w:sz w:val="20"/>
          <w:szCs w:val="20"/>
        </w:rPr>
        <w:t>.</w:t>
      </w:r>
    </w:p>
    <w:p w14:paraId="2E949F04" w14:textId="13739ECF" w:rsidR="001645B3" w:rsidRPr="007F05DD" w:rsidRDefault="001645B3" w:rsidP="7D212A07">
      <w:pPr>
        <w:jc w:val="both"/>
        <w:rPr>
          <w:rFonts w:ascii="Verdana" w:hAnsi="Verdana" w:cs="Arial"/>
          <w:color w:val="000000" w:themeColor="text1"/>
          <w:sz w:val="20"/>
          <w:szCs w:val="20"/>
        </w:rPr>
      </w:pPr>
      <w:r w:rsidRPr="007F05DD">
        <w:rPr>
          <w:rFonts w:ascii="Verdana" w:hAnsi="Verdana" w:cs="Arial"/>
          <w:color w:val="000000" w:themeColor="text1"/>
          <w:sz w:val="20"/>
          <w:szCs w:val="20"/>
        </w:rPr>
        <w:t>La alta gerencia debe tener en cuenta los resultados de las pruebas de resistencia dentro del proceso de la toma de decisiones para la gestión de los riesgos, el capital, la liquidez, los activos y los pasivos de la entidad.</w:t>
      </w:r>
    </w:p>
    <w:p w14:paraId="3615DDF8" w14:textId="734395AB" w:rsidR="00A241FB" w:rsidRPr="007F05DD" w:rsidRDefault="00A241FB" w:rsidP="00A241FB">
      <w:pPr>
        <w:spacing w:after="0"/>
        <w:rPr>
          <w:rFonts w:ascii="Verdana" w:hAnsi="Verdana"/>
          <w:sz w:val="20"/>
          <w:szCs w:val="20"/>
        </w:rPr>
      </w:pPr>
      <w:r w:rsidRPr="007F05DD">
        <w:rPr>
          <w:rFonts w:ascii="Verdana" w:hAnsi="Verdana"/>
          <w:sz w:val="20"/>
          <w:szCs w:val="20"/>
        </w:rPr>
        <w:lastRenderedPageBreak/>
        <w:t>2.9.</w:t>
      </w:r>
      <w:r w:rsidR="00905381" w:rsidRPr="7535FFF9">
        <w:rPr>
          <w:rFonts w:ascii="Verdana" w:hAnsi="Verdana"/>
          <w:sz w:val="20"/>
          <w:szCs w:val="20"/>
        </w:rPr>
        <w:t>2</w:t>
      </w:r>
      <w:r w:rsidR="226CFF2F" w:rsidRPr="7535FFF9">
        <w:rPr>
          <w:rFonts w:ascii="Verdana" w:hAnsi="Verdana"/>
          <w:sz w:val="20"/>
          <w:szCs w:val="20"/>
        </w:rPr>
        <w:t>4</w:t>
      </w:r>
      <w:r w:rsidRPr="007F05DD">
        <w:rPr>
          <w:rFonts w:ascii="Verdana" w:hAnsi="Verdana"/>
          <w:sz w:val="20"/>
          <w:szCs w:val="20"/>
        </w:rPr>
        <w:t>.</w:t>
      </w:r>
    </w:p>
    <w:p w14:paraId="5771D756" w14:textId="40DA4B72"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El área designada por la alta gerencia debe garantizar que los reportes de las pruebas que se remitan a la SFC se ajusten en el contenido, calidad de la información, transmisión y validación a los requerimientos establecidos en las normas respectivas. </w:t>
      </w:r>
    </w:p>
    <w:p w14:paraId="37D03F93" w14:textId="7C159D84" w:rsidR="00115CF4" w:rsidRPr="007F05DD" w:rsidRDefault="00115CF4" w:rsidP="00115CF4">
      <w:pPr>
        <w:spacing w:after="0"/>
        <w:rPr>
          <w:rFonts w:ascii="Verdana" w:hAnsi="Verdana"/>
          <w:sz w:val="20"/>
          <w:szCs w:val="20"/>
        </w:rPr>
      </w:pPr>
      <w:r w:rsidRPr="007F05DD">
        <w:rPr>
          <w:rFonts w:ascii="Verdana" w:hAnsi="Verdana"/>
          <w:sz w:val="20"/>
          <w:szCs w:val="20"/>
        </w:rPr>
        <w:t>2.9.</w:t>
      </w:r>
      <w:r w:rsidR="00905381" w:rsidRPr="7535FFF9">
        <w:rPr>
          <w:rFonts w:ascii="Verdana" w:hAnsi="Verdana"/>
          <w:sz w:val="20"/>
          <w:szCs w:val="20"/>
        </w:rPr>
        <w:t>2</w:t>
      </w:r>
      <w:r w:rsidR="5240EDC1" w:rsidRPr="7535FFF9">
        <w:rPr>
          <w:rFonts w:ascii="Verdana" w:hAnsi="Verdana"/>
          <w:sz w:val="20"/>
          <w:szCs w:val="20"/>
        </w:rPr>
        <w:t>5</w:t>
      </w:r>
      <w:r w:rsidRPr="007F05DD">
        <w:rPr>
          <w:rFonts w:ascii="Verdana" w:hAnsi="Verdana"/>
          <w:sz w:val="20"/>
          <w:szCs w:val="20"/>
        </w:rPr>
        <w:t>.</w:t>
      </w:r>
    </w:p>
    <w:p w14:paraId="63DC208E" w14:textId="5FC4CC65"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El Representante Legal debe aprobar los reportes relacionados con el EPR que se remitan a la SFC.</w:t>
      </w:r>
    </w:p>
    <w:p w14:paraId="58D5A758" w14:textId="6FDFC8E7" w:rsidR="00677F9B" w:rsidRPr="007F05DD" w:rsidRDefault="00677F9B" w:rsidP="00677F9B">
      <w:pPr>
        <w:spacing w:after="0"/>
        <w:rPr>
          <w:rFonts w:ascii="Verdana" w:hAnsi="Verdana"/>
          <w:sz w:val="20"/>
          <w:szCs w:val="20"/>
        </w:rPr>
      </w:pPr>
      <w:r w:rsidRPr="007F05DD">
        <w:rPr>
          <w:rFonts w:ascii="Verdana" w:hAnsi="Verdana"/>
          <w:sz w:val="20"/>
          <w:szCs w:val="20"/>
        </w:rPr>
        <w:t>2.9.</w:t>
      </w:r>
      <w:r w:rsidR="00905381" w:rsidRPr="7535FFF9">
        <w:rPr>
          <w:rFonts w:ascii="Verdana" w:hAnsi="Verdana"/>
          <w:sz w:val="20"/>
          <w:szCs w:val="20"/>
        </w:rPr>
        <w:t>2</w:t>
      </w:r>
      <w:r w:rsidR="48D4BBDD" w:rsidRPr="7535FFF9">
        <w:rPr>
          <w:rFonts w:ascii="Verdana" w:hAnsi="Verdana"/>
          <w:sz w:val="20"/>
          <w:szCs w:val="20"/>
        </w:rPr>
        <w:t>6</w:t>
      </w:r>
      <w:r w:rsidRPr="007F05DD">
        <w:rPr>
          <w:rFonts w:ascii="Verdana" w:hAnsi="Verdana"/>
          <w:sz w:val="20"/>
          <w:szCs w:val="20"/>
        </w:rPr>
        <w:t>.</w:t>
      </w:r>
    </w:p>
    <w:p w14:paraId="57229320" w14:textId="246A37EC"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La auditoría interna debe revisar periódicamente el EPR en el proceso de evaluación del sistema de gestión de los riesgos.</w:t>
      </w:r>
    </w:p>
    <w:p w14:paraId="4FCDC3E7" w14:textId="597EBDC3" w:rsidR="001645B3" w:rsidRPr="007F05DD" w:rsidRDefault="00CF5D84" w:rsidP="007F05DD">
      <w:pPr>
        <w:rPr>
          <w:rFonts w:ascii="Verdana" w:hAnsi="Verdana"/>
          <w:b/>
          <w:bCs/>
          <w:sz w:val="20"/>
          <w:szCs w:val="20"/>
        </w:rPr>
      </w:pPr>
      <w:bookmarkStart w:id="10" w:name="_Toc417459222"/>
      <w:r w:rsidRPr="007F05DD">
        <w:rPr>
          <w:rFonts w:ascii="Verdana" w:hAnsi="Verdana"/>
          <w:b/>
          <w:bCs/>
          <w:sz w:val="20"/>
          <w:szCs w:val="20"/>
        </w:rPr>
        <w:t>REPORTE DE INFORMACIÓN</w:t>
      </w:r>
      <w:bookmarkEnd w:id="10"/>
    </w:p>
    <w:p w14:paraId="06076211" w14:textId="50A450ED" w:rsidR="00CA5B8C" w:rsidRPr="007F05DD" w:rsidRDefault="00CA5B8C" w:rsidP="00CA5B8C">
      <w:pPr>
        <w:spacing w:after="0"/>
        <w:rPr>
          <w:rFonts w:ascii="Verdana" w:hAnsi="Verdana"/>
          <w:sz w:val="20"/>
          <w:szCs w:val="20"/>
        </w:rPr>
      </w:pPr>
      <w:r w:rsidRPr="007F05DD">
        <w:rPr>
          <w:rFonts w:ascii="Verdana" w:hAnsi="Verdana"/>
          <w:sz w:val="20"/>
          <w:szCs w:val="20"/>
        </w:rPr>
        <w:t>2.9.</w:t>
      </w:r>
      <w:r w:rsidRPr="7535FFF9">
        <w:rPr>
          <w:rFonts w:ascii="Verdana" w:hAnsi="Verdana"/>
          <w:sz w:val="20"/>
          <w:szCs w:val="20"/>
        </w:rPr>
        <w:t>2</w:t>
      </w:r>
      <w:r w:rsidR="791B0CC1" w:rsidRPr="7535FFF9">
        <w:rPr>
          <w:rFonts w:ascii="Verdana" w:hAnsi="Verdana"/>
          <w:sz w:val="20"/>
          <w:szCs w:val="20"/>
        </w:rPr>
        <w:t>7</w:t>
      </w:r>
      <w:r w:rsidRPr="007F05DD">
        <w:rPr>
          <w:rFonts w:ascii="Verdana" w:hAnsi="Verdana"/>
          <w:sz w:val="20"/>
          <w:szCs w:val="20"/>
        </w:rPr>
        <w:t>.</w:t>
      </w:r>
    </w:p>
    <w:p w14:paraId="18ADB696" w14:textId="77777777"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Los resultados de las pruebas de resistencia, que utilizan las entidades en la planeación financiera y la gestión de los riesgos no son objeto de reporte a la SFC. Sin embargo, toda la documentación sobre los modelos, las metodologías y sus resultados deben estar a disposición de la SFC.</w:t>
      </w:r>
    </w:p>
    <w:p w14:paraId="64DF3B92" w14:textId="0DAB5AA5" w:rsidR="00D60D9D" w:rsidRPr="007F05DD" w:rsidRDefault="00D60D9D" w:rsidP="00D60D9D">
      <w:pPr>
        <w:spacing w:after="0"/>
        <w:rPr>
          <w:rFonts w:ascii="Verdana" w:hAnsi="Verdana"/>
          <w:sz w:val="20"/>
          <w:szCs w:val="20"/>
        </w:rPr>
      </w:pPr>
      <w:r w:rsidRPr="007F05DD">
        <w:rPr>
          <w:rFonts w:ascii="Verdana" w:hAnsi="Verdana"/>
          <w:sz w:val="20"/>
          <w:szCs w:val="20"/>
        </w:rPr>
        <w:t>2.9.</w:t>
      </w:r>
      <w:r w:rsidRPr="7535FFF9">
        <w:rPr>
          <w:rFonts w:ascii="Verdana" w:hAnsi="Verdana"/>
          <w:sz w:val="20"/>
          <w:szCs w:val="20"/>
        </w:rPr>
        <w:t>2</w:t>
      </w:r>
      <w:r w:rsidR="26C3D869" w:rsidRPr="7535FFF9">
        <w:rPr>
          <w:rFonts w:ascii="Verdana" w:hAnsi="Verdana"/>
          <w:sz w:val="20"/>
          <w:szCs w:val="20"/>
        </w:rPr>
        <w:t>8</w:t>
      </w:r>
      <w:r w:rsidRPr="007F05DD">
        <w:rPr>
          <w:rFonts w:ascii="Verdana" w:hAnsi="Verdana"/>
          <w:sz w:val="20"/>
          <w:szCs w:val="20"/>
        </w:rPr>
        <w:t>.</w:t>
      </w:r>
    </w:p>
    <w:p w14:paraId="1BFB7D27" w14:textId="27D361ED"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 xml:space="preserve">En el caso de las pruebas requeridas por la SFC, las entidades deben reportar anualmente las proyecciones para los periodos y las variables establecidas, la descripción y justificación de los </w:t>
      </w:r>
      <w:r w:rsidRPr="00D84ADB">
        <w:rPr>
          <w:rFonts w:ascii="Verdana" w:hAnsi="Verdana" w:cs="Arial"/>
          <w:color w:val="000000" w:themeColor="text1"/>
          <w:sz w:val="20"/>
          <w:szCs w:val="20"/>
        </w:rPr>
        <w:t xml:space="preserve">modelos, así como el análisis de los resultados, de acuerdo con las instrucciones establecidas en el </w:t>
      </w:r>
      <w:r w:rsidR="00D84ADB" w:rsidRPr="00D84ADB">
        <w:rPr>
          <w:rFonts w:ascii="Verdana" w:hAnsi="Verdana" w:cs="Arial"/>
          <w:color w:val="000000" w:themeColor="text1"/>
          <w:sz w:val="20"/>
          <w:szCs w:val="20"/>
        </w:rPr>
        <w:t>a</w:t>
      </w:r>
      <w:r w:rsidRPr="00D84ADB">
        <w:rPr>
          <w:rFonts w:ascii="Verdana" w:hAnsi="Verdana" w:cs="Arial"/>
          <w:color w:val="000000" w:themeColor="text1"/>
          <w:sz w:val="20"/>
          <w:szCs w:val="20"/>
        </w:rPr>
        <w:t>nexo 1 “Lineamientos para el Esquema de Pruebas de Resistencia (EPR) Requeridas por el Supervisor” y la</w:t>
      </w:r>
      <w:r w:rsidRPr="007F05DD">
        <w:rPr>
          <w:rFonts w:ascii="Verdana" w:hAnsi="Verdana" w:cs="Arial"/>
          <w:color w:val="000000" w:themeColor="text1"/>
          <w:sz w:val="20"/>
          <w:szCs w:val="20"/>
        </w:rPr>
        <w:t xml:space="preserve"> </w:t>
      </w:r>
      <w:r w:rsidR="00D84ADB">
        <w:rPr>
          <w:rFonts w:ascii="Verdana" w:hAnsi="Verdana" w:cs="Arial"/>
          <w:color w:val="000000" w:themeColor="text1"/>
          <w:sz w:val="20"/>
          <w:szCs w:val="20"/>
        </w:rPr>
        <w:t>p</w:t>
      </w:r>
      <w:r w:rsidRPr="007F05DD">
        <w:rPr>
          <w:rFonts w:ascii="Verdana" w:hAnsi="Verdana" w:cs="Arial"/>
          <w:color w:val="000000" w:themeColor="text1"/>
          <w:sz w:val="20"/>
          <w:szCs w:val="20"/>
        </w:rPr>
        <w:t xml:space="preserve">roforma diseñada para tal efecto. </w:t>
      </w:r>
    </w:p>
    <w:p w14:paraId="536ED7B3" w14:textId="6CC1762A" w:rsidR="00D56B24" w:rsidRPr="007F05DD" w:rsidRDefault="00D56B24" w:rsidP="00D56B24">
      <w:pPr>
        <w:spacing w:after="0"/>
        <w:rPr>
          <w:rFonts w:ascii="Verdana" w:hAnsi="Verdana"/>
          <w:sz w:val="20"/>
          <w:szCs w:val="20"/>
        </w:rPr>
      </w:pPr>
      <w:r w:rsidRPr="007F05DD">
        <w:rPr>
          <w:rFonts w:ascii="Verdana" w:hAnsi="Verdana"/>
          <w:sz w:val="20"/>
          <w:szCs w:val="20"/>
        </w:rPr>
        <w:t>2.9.</w:t>
      </w:r>
      <w:r w:rsidR="2F0070B3" w:rsidRPr="7535FFF9">
        <w:rPr>
          <w:rFonts w:ascii="Verdana" w:hAnsi="Verdana"/>
          <w:sz w:val="20"/>
          <w:szCs w:val="20"/>
        </w:rPr>
        <w:t>29</w:t>
      </w:r>
      <w:r w:rsidRPr="007F05DD">
        <w:rPr>
          <w:rFonts w:ascii="Verdana" w:hAnsi="Verdana"/>
          <w:sz w:val="20"/>
          <w:szCs w:val="20"/>
        </w:rPr>
        <w:t>.</w:t>
      </w:r>
    </w:p>
    <w:p w14:paraId="76E5C3AA" w14:textId="39581293" w:rsidR="001645B3" w:rsidRPr="007F05DD" w:rsidRDefault="001645B3" w:rsidP="001645B3">
      <w:pPr>
        <w:jc w:val="both"/>
        <w:rPr>
          <w:rFonts w:ascii="Verdana" w:hAnsi="Verdana" w:cs="Arial"/>
          <w:color w:val="000000" w:themeColor="text1"/>
          <w:sz w:val="20"/>
          <w:szCs w:val="20"/>
        </w:rPr>
      </w:pPr>
      <w:r w:rsidRPr="007F05DD">
        <w:rPr>
          <w:rFonts w:ascii="Verdana" w:hAnsi="Verdana" w:cs="Arial"/>
          <w:color w:val="000000" w:themeColor="text1"/>
          <w:sz w:val="20"/>
          <w:szCs w:val="20"/>
        </w:rPr>
        <w:t>La SFC valorará la información reportada y con base en ella tomará las medidas prudenciales o acciones de supervisión que estime convenientes.</w:t>
      </w:r>
    </w:p>
    <w:p w14:paraId="07FAC736" w14:textId="77777777" w:rsidR="007A4231" w:rsidRPr="007F05DD" w:rsidRDefault="007A4231" w:rsidP="001645B3">
      <w:pPr>
        <w:spacing w:after="0"/>
        <w:rPr>
          <w:rFonts w:ascii="Verdana" w:hAnsi="Verdana"/>
          <w:color w:val="000000" w:themeColor="text1"/>
          <w:sz w:val="20"/>
          <w:szCs w:val="20"/>
        </w:rPr>
      </w:pPr>
    </w:p>
    <w:sectPr w:rsidR="007A4231" w:rsidRPr="007F05DD"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27BFD" w14:textId="77777777" w:rsidR="00453D88" w:rsidRDefault="00453D88" w:rsidP="00057BF6">
      <w:pPr>
        <w:spacing w:after="0" w:line="240" w:lineRule="auto"/>
      </w:pPr>
      <w:r>
        <w:separator/>
      </w:r>
    </w:p>
  </w:endnote>
  <w:endnote w:type="continuationSeparator" w:id="0">
    <w:p w14:paraId="73DDE050" w14:textId="77777777" w:rsidR="00453D88" w:rsidRDefault="00453D88" w:rsidP="00057BF6">
      <w:pPr>
        <w:spacing w:after="0" w:line="240" w:lineRule="auto"/>
      </w:pPr>
      <w:r>
        <w:continuationSeparator/>
      </w:r>
    </w:p>
  </w:endnote>
  <w:endnote w:type="continuationNotice" w:id="1">
    <w:p w14:paraId="0D5CAD56" w14:textId="77777777" w:rsidR="00453D88" w:rsidRDefault="00453D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AC466" w14:textId="77777777" w:rsidR="00453D88" w:rsidRDefault="00453D88" w:rsidP="00057BF6">
      <w:pPr>
        <w:spacing w:after="0" w:line="240" w:lineRule="auto"/>
      </w:pPr>
      <w:r>
        <w:separator/>
      </w:r>
    </w:p>
  </w:footnote>
  <w:footnote w:type="continuationSeparator" w:id="0">
    <w:p w14:paraId="52176D47" w14:textId="77777777" w:rsidR="00453D88" w:rsidRDefault="00453D88" w:rsidP="00057BF6">
      <w:pPr>
        <w:spacing w:after="0" w:line="240" w:lineRule="auto"/>
      </w:pPr>
      <w:r>
        <w:continuationSeparator/>
      </w:r>
    </w:p>
  </w:footnote>
  <w:footnote w:type="continuationNotice" w:id="1">
    <w:p w14:paraId="03D3C29C" w14:textId="77777777" w:rsidR="00453D88" w:rsidRDefault="00453D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1EC6F34"/>
    <w:multiLevelType w:val="hybridMultilevel"/>
    <w:tmpl w:val="C66EEF6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2867E2"/>
    <w:multiLevelType w:val="hybridMultilevel"/>
    <w:tmpl w:val="FA866FC2"/>
    <w:lvl w:ilvl="0" w:tplc="2F0A0F1E">
      <w:start w:val="1"/>
      <w:numFmt w:val="lowerRoman"/>
      <w:lvlText w:val="%1."/>
      <w:lvlJc w:val="left"/>
      <w:pPr>
        <w:ind w:left="720" w:hanging="360"/>
      </w:pPr>
      <w:rPr>
        <w:rFonts w:ascii="Verdana" w:eastAsiaTheme="minorHAnsi" w:hAnsi="Verdana"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EA5287"/>
    <w:multiLevelType w:val="hybridMultilevel"/>
    <w:tmpl w:val="A5040D3A"/>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902331B"/>
    <w:multiLevelType w:val="hybridMultilevel"/>
    <w:tmpl w:val="B0AA0C3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435568">
    <w:abstractNumId w:val="5"/>
  </w:num>
  <w:num w:numId="2" w16cid:durableId="1362513633">
    <w:abstractNumId w:val="0"/>
  </w:num>
  <w:num w:numId="3" w16cid:durableId="1245720935">
    <w:abstractNumId w:val="1"/>
  </w:num>
  <w:num w:numId="4" w16cid:durableId="1760326296">
    <w:abstractNumId w:val="2"/>
  </w:num>
  <w:num w:numId="5" w16cid:durableId="1102720184">
    <w:abstractNumId w:val="4"/>
  </w:num>
  <w:num w:numId="6" w16cid:durableId="110010192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5377"/>
    <w:rsid w:val="00030DA8"/>
    <w:rsid w:val="00034862"/>
    <w:rsid w:val="00057BF6"/>
    <w:rsid w:val="00062B3B"/>
    <w:rsid w:val="0006736C"/>
    <w:rsid w:val="000C3CC0"/>
    <w:rsid w:val="000C4660"/>
    <w:rsid w:val="00102CA3"/>
    <w:rsid w:val="00115830"/>
    <w:rsid w:val="00115CF4"/>
    <w:rsid w:val="00115F3C"/>
    <w:rsid w:val="0013049C"/>
    <w:rsid w:val="0013374B"/>
    <w:rsid w:val="00136AF2"/>
    <w:rsid w:val="00142610"/>
    <w:rsid w:val="00144B78"/>
    <w:rsid w:val="00163B06"/>
    <w:rsid w:val="001645B3"/>
    <w:rsid w:val="00193D50"/>
    <w:rsid w:val="00196FF2"/>
    <w:rsid w:val="001B3FB2"/>
    <w:rsid w:val="001B5187"/>
    <w:rsid w:val="001E7698"/>
    <w:rsid w:val="001E7914"/>
    <w:rsid w:val="0021666A"/>
    <w:rsid w:val="002172AC"/>
    <w:rsid w:val="0026190E"/>
    <w:rsid w:val="00265295"/>
    <w:rsid w:val="002B4F4A"/>
    <w:rsid w:val="002E2EFD"/>
    <w:rsid w:val="002F5CF4"/>
    <w:rsid w:val="00305CE0"/>
    <w:rsid w:val="00317564"/>
    <w:rsid w:val="0033079E"/>
    <w:rsid w:val="003446AB"/>
    <w:rsid w:val="00362CB9"/>
    <w:rsid w:val="0036407F"/>
    <w:rsid w:val="00392161"/>
    <w:rsid w:val="003A01FD"/>
    <w:rsid w:val="003A052B"/>
    <w:rsid w:val="003A383A"/>
    <w:rsid w:val="003A414A"/>
    <w:rsid w:val="003A5CFE"/>
    <w:rsid w:val="003C558F"/>
    <w:rsid w:val="003E5317"/>
    <w:rsid w:val="0040498E"/>
    <w:rsid w:val="00405030"/>
    <w:rsid w:val="00406D2B"/>
    <w:rsid w:val="00414028"/>
    <w:rsid w:val="00426D0D"/>
    <w:rsid w:val="0043223D"/>
    <w:rsid w:val="004362B9"/>
    <w:rsid w:val="00453D88"/>
    <w:rsid w:val="00461AFC"/>
    <w:rsid w:val="004741D1"/>
    <w:rsid w:val="004879FE"/>
    <w:rsid w:val="00493234"/>
    <w:rsid w:val="004B569A"/>
    <w:rsid w:val="00503FED"/>
    <w:rsid w:val="00544A86"/>
    <w:rsid w:val="0055785C"/>
    <w:rsid w:val="0057063F"/>
    <w:rsid w:val="00570897"/>
    <w:rsid w:val="00573506"/>
    <w:rsid w:val="0058188B"/>
    <w:rsid w:val="0058747C"/>
    <w:rsid w:val="005963F6"/>
    <w:rsid w:val="00596B88"/>
    <w:rsid w:val="005A1C42"/>
    <w:rsid w:val="005A4875"/>
    <w:rsid w:val="005A7306"/>
    <w:rsid w:val="005B666A"/>
    <w:rsid w:val="005D6CF3"/>
    <w:rsid w:val="005D72F4"/>
    <w:rsid w:val="0060614E"/>
    <w:rsid w:val="0061423F"/>
    <w:rsid w:val="00615A7A"/>
    <w:rsid w:val="00622F27"/>
    <w:rsid w:val="00630042"/>
    <w:rsid w:val="006503AB"/>
    <w:rsid w:val="00677F9B"/>
    <w:rsid w:val="006B11D4"/>
    <w:rsid w:val="006B79DE"/>
    <w:rsid w:val="0070247A"/>
    <w:rsid w:val="0070607D"/>
    <w:rsid w:val="00710EB7"/>
    <w:rsid w:val="00716E1A"/>
    <w:rsid w:val="00721D02"/>
    <w:rsid w:val="00761D2C"/>
    <w:rsid w:val="00785C35"/>
    <w:rsid w:val="007A0E8F"/>
    <w:rsid w:val="007A1122"/>
    <w:rsid w:val="007A302E"/>
    <w:rsid w:val="007A4231"/>
    <w:rsid w:val="007D4317"/>
    <w:rsid w:val="007E5FFD"/>
    <w:rsid w:val="007F05DD"/>
    <w:rsid w:val="00811FB5"/>
    <w:rsid w:val="0082329A"/>
    <w:rsid w:val="00823B58"/>
    <w:rsid w:val="00824861"/>
    <w:rsid w:val="00883207"/>
    <w:rsid w:val="008917F9"/>
    <w:rsid w:val="00891E18"/>
    <w:rsid w:val="008B0F98"/>
    <w:rsid w:val="008E05E6"/>
    <w:rsid w:val="008F7661"/>
    <w:rsid w:val="008F7889"/>
    <w:rsid w:val="0090003A"/>
    <w:rsid w:val="00905381"/>
    <w:rsid w:val="00947184"/>
    <w:rsid w:val="00951CBD"/>
    <w:rsid w:val="0095529A"/>
    <w:rsid w:val="00956EC8"/>
    <w:rsid w:val="009571FD"/>
    <w:rsid w:val="00987426"/>
    <w:rsid w:val="009A2823"/>
    <w:rsid w:val="009B164E"/>
    <w:rsid w:val="009B6D85"/>
    <w:rsid w:val="009C063D"/>
    <w:rsid w:val="009D6127"/>
    <w:rsid w:val="009E6395"/>
    <w:rsid w:val="009F3B82"/>
    <w:rsid w:val="00A04C68"/>
    <w:rsid w:val="00A06290"/>
    <w:rsid w:val="00A1466E"/>
    <w:rsid w:val="00A241FB"/>
    <w:rsid w:val="00A40908"/>
    <w:rsid w:val="00A41E5E"/>
    <w:rsid w:val="00A9232C"/>
    <w:rsid w:val="00AC1367"/>
    <w:rsid w:val="00AC2078"/>
    <w:rsid w:val="00AC3405"/>
    <w:rsid w:val="00AD3DE0"/>
    <w:rsid w:val="00AE1E3C"/>
    <w:rsid w:val="00AF056D"/>
    <w:rsid w:val="00AF4770"/>
    <w:rsid w:val="00B537B9"/>
    <w:rsid w:val="00B8113F"/>
    <w:rsid w:val="00B910AB"/>
    <w:rsid w:val="00BA183D"/>
    <w:rsid w:val="00BB3E26"/>
    <w:rsid w:val="00BB7419"/>
    <w:rsid w:val="00BB79E5"/>
    <w:rsid w:val="00BC10B5"/>
    <w:rsid w:val="00BC2A3D"/>
    <w:rsid w:val="00BD6562"/>
    <w:rsid w:val="00BD6F5D"/>
    <w:rsid w:val="00BF315B"/>
    <w:rsid w:val="00BF5C4C"/>
    <w:rsid w:val="00C06BA2"/>
    <w:rsid w:val="00C33E83"/>
    <w:rsid w:val="00C445F3"/>
    <w:rsid w:val="00C4511B"/>
    <w:rsid w:val="00C779EB"/>
    <w:rsid w:val="00C90BEC"/>
    <w:rsid w:val="00CA5B8C"/>
    <w:rsid w:val="00CA709D"/>
    <w:rsid w:val="00CB30DE"/>
    <w:rsid w:val="00CC3647"/>
    <w:rsid w:val="00CC6142"/>
    <w:rsid w:val="00CE5754"/>
    <w:rsid w:val="00CF3965"/>
    <w:rsid w:val="00CF5D84"/>
    <w:rsid w:val="00D170FD"/>
    <w:rsid w:val="00D17AD4"/>
    <w:rsid w:val="00D26CD6"/>
    <w:rsid w:val="00D40CC0"/>
    <w:rsid w:val="00D43681"/>
    <w:rsid w:val="00D56B24"/>
    <w:rsid w:val="00D60D9D"/>
    <w:rsid w:val="00D8228A"/>
    <w:rsid w:val="00D84ADB"/>
    <w:rsid w:val="00DA0C0E"/>
    <w:rsid w:val="00DB3056"/>
    <w:rsid w:val="00DB3370"/>
    <w:rsid w:val="00E03CCC"/>
    <w:rsid w:val="00E14A27"/>
    <w:rsid w:val="00E34867"/>
    <w:rsid w:val="00E36D12"/>
    <w:rsid w:val="00E66D12"/>
    <w:rsid w:val="00E7434A"/>
    <w:rsid w:val="00E7506C"/>
    <w:rsid w:val="00EC0D9F"/>
    <w:rsid w:val="00EE1106"/>
    <w:rsid w:val="00EE7703"/>
    <w:rsid w:val="00EF3F83"/>
    <w:rsid w:val="00F17698"/>
    <w:rsid w:val="00F404C8"/>
    <w:rsid w:val="00F729F1"/>
    <w:rsid w:val="00FB2C83"/>
    <w:rsid w:val="084EA22E"/>
    <w:rsid w:val="0BAA4050"/>
    <w:rsid w:val="13129AB4"/>
    <w:rsid w:val="158D138C"/>
    <w:rsid w:val="176C7EF8"/>
    <w:rsid w:val="188B4FC7"/>
    <w:rsid w:val="1E545514"/>
    <w:rsid w:val="226CFF2F"/>
    <w:rsid w:val="234CF7B4"/>
    <w:rsid w:val="23E28453"/>
    <w:rsid w:val="26C3D869"/>
    <w:rsid w:val="29085703"/>
    <w:rsid w:val="2F0070B3"/>
    <w:rsid w:val="3077FCF8"/>
    <w:rsid w:val="38DA9221"/>
    <w:rsid w:val="3ED5E505"/>
    <w:rsid w:val="48D4BBDD"/>
    <w:rsid w:val="499A0FBD"/>
    <w:rsid w:val="4DEBF87A"/>
    <w:rsid w:val="50DDFD37"/>
    <w:rsid w:val="5240EDC1"/>
    <w:rsid w:val="57B07AA3"/>
    <w:rsid w:val="5BBA47C5"/>
    <w:rsid w:val="5EB95E8E"/>
    <w:rsid w:val="6305FE43"/>
    <w:rsid w:val="7535FFF9"/>
    <w:rsid w:val="791B0CC1"/>
    <w:rsid w:val="794AD57A"/>
    <w:rsid w:val="7BF1BC17"/>
    <w:rsid w:val="7D212A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63D"/>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itulo2">
    <w:name w:val="Titulo 2"/>
    <w:basedOn w:val="Ttulo2"/>
    <w:next w:val="Ttulo2"/>
    <w:autoRedefine/>
    <w:qFormat/>
    <w:rsid w:val="001645B3"/>
    <w:pPr>
      <w:spacing w:before="0" w:after="0" w:line="276" w:lineRule="auto"/>
    </w:pPr>
    <w:rPr>
      <w:rFonts w:ascii="Arial" w:eastAsia="Times New Roman" w:hAnsi="Arial" w:cs="Times New Roman"/>
      <w:b/>
      <w:bCs/>
      <w:color w:val="auto"/>
      <w:kern w:val="0"/>
      <w:sz w:val="16"/>
      <w:szCs w:val="26"/>
      <w:lang w:val="es-ES" w:eastAsia="es-ES"/>
      <w14:ligatures w14:val="none"/>
    </w:rPr>
  </w:style>
  <w:style w:type="character" w:customStyle="1" w:styleId="Titulo3Car">
    <w:name w:val="Titulo 3 Car"/>
    <w:qFormat/>
    <w:rsid w:val="001645B3"/>
    <w:rPr>
      <w:rFonts w:ascii="Arial" w:hAnsi="Arial" w:cs="Arial"/>
      <w:b/>
      <w:bCs/>
      <w:sz w:val="16"/>
      <w:szCs w:val="24"/>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FE4759-C43D-4A78-AC47-65D8A843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http://schemas.microsoft.com/office/2006/documentManagement/types"/>
    <ds:schemaRef ds:uri="9056d983-1374-4724-9f8d-2ef5b64379db"/>
    <ds:schemaRef ds:uri="http://purl.org/dc/dcmitype/"/>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2254</Words>
  <Characters>12538</Characters>
  <Application>Microsoft Office Word</Application>
  <DocSecurity>0</DocSecurity>
  <Lines>284</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152</cp:revision>
  <dcterms:created xsi:type="dcterms:W3CDTF">2024-12-16T20:49:00Z</dcterms:created>
  <dcterms:modified xsi:type="dcterms:W3CDTF">2026-04-13T20:59:00Z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90000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